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9DDD" w14:textId="77777777" w:rsidR="005C688F" w:rsidRDefault="005C688F"/>
    <w:p w14:paraId="154BFFEE" w14:textId="77777777" w:rsidR="005C688F" w:rsidRDefault="00000000">
      <w:r>
        <w:br w:type="page"/>
      </w:r>
    </w:p>
    <w:p w14:paraId="1FA5FC5E" w14:textId="77777777" w:rsidR="005C688F" w:rsidRDefault="00000000">
      <w:pPr>
        <w:spacing w:after="240"/>
        <w:jc w:val="center"/>
      </w:pPr>
      <w:proofErr w:type="spellStart"/>
      <w:r>
        <w:rPr>
          <w:i/>
          <w:sz w:val="32"/>
        </w:rPr>
        <w:lastRenderedPageBreak/>
        <w:t>Оглавление</w:t>
      </w:r>
      <w:proofErr w:type="spellEnd"/>
    </w:p>
    <w:p w14:paraId="3DCF70C0" w14:textId="77777777" w:rsidR="006E1821" w:rsidRPr="00EC640A" w:rsidRDefault="00000000" w:rsidP="00EC640A">
      <w:pPr>
        <w:pStyle w:val="16"/>
        <w:tabs>
          <w:tab w:val="right" w:leader="dot" w:pos="9679"/>
        </w:tabs>
        <w:rPr>
          <w:rFonts w:ascii="Times New Roman" w:hAnsi="Times New Roman" w:cs="Times New Roman"/>
          <w:b w:val="0"/>
          <w:bCs w:val="0"/>
          <w:i w:val="0"/>
          <w:iCs w:val="0"/>
          <w:noProof/>
          <w:sz w:val="27"/>
          <w:szCs w:val="27"/>
        </w:rPr>
      </w:pPr>
      <w:r>
        <w:fldChar w:fldCharType="begin"/>
      </w:r>
      <w:r>
        <w:instrText xml:space="preserve"> TOC \o "1-2" \h \z \u </w:instrText>
      </w:r>
      <w:r>
        <w:fldChar w:fldCharType="separate"/>
      </w:r>
      <w:hyperlink w:anchor="_Toc222574453" w:history="1">
        <w:r w:rsidR="006E1821" w:rsidRPr="00EC640A">
          <w:rPr>
            <w:rStyle w:val="aff8"/>
            <w:rFonts w:ascii="Times New Roman" w:hAnsi="Times New Roman" w:cs="Times New Roman"/>
            <w:b w:val="0"/>
            <w:bCs w:val="0"/>
            <w:i w:val="0"/>
            <w:iCs w:val="0"/>
            <w:noProof/>
            <w:sz w:val="27"/>
            <w:szCs w:val="27"/>
          </w:rPr>
          <w:t>Введение</w:t>
        </w:r>
        <w:r w:rsidR="006E1821" w:rsidRPr="00EC640A">
          <w:rPr>
            <w:rFonts w:ascii="Times New Roman" w:hAnsi="Times New Roman" w:cs="Times New Roman"/>
            <w:b w:val="0"/>
            <w:bCs w:val="0"/>
            <w:i w:val="0"/>
            <w:iCs w:val="0"/>
            <w:noProof/>
            <w:webHidden/>
            <w:sz w:val="27"/>
            <w:szCs w:val="27"/>
          </w:rPr>
          <w:tab/>
        </w:r>
        <w:r w:rsidR="006E1821" w:rsidRPr="00EC640A">
          <w:rPr>
            <w:rFonts w:ascii="Times New Roman" w:hAnsi="Times New Roman" w:cs="Times New Roman"/>
            <w:b w:val="0"/>
            <w:bCs w:val="0"/>
            <w:i w:val="0"/>
            <w:iCs w:val="0"/>
            <w:noProof/>
            <w:webHidden/>
            <w:sz w:val="27"/>
            <w:szCs w:val="27"/>
          </w:rPr>
          <w:fldChar w:fldCharType="begin"/>
        </w:r>
        <w:r w:rsidR="006E1821" w:rsidRPr="00EC640A">
          <w:rPr>
            <w:rFonts w:ascii="Times New Roman" w:hAnsi="Times New Roman" w:cs="Times New Roman"/>
            <w:b w:val="0"/>
            <w:bCs w:val="0"/>
            <w:i w:val="0"/>
            <w:iCs w:val="0"/>
            <w:noProof/>
            <w:webHidden/>
            <w:sz w:val="27"/>
            <w:szCs w:val="27"/>
          </w:rPr>
          <w:instrText xml:space="preserve"> PAGEREF _Toc222574453 \h </w:instrText>
        </w:r>
        <w:r w:rsidR="006E1821" w:rsidRPr="00EC640A">
          <w:rPr>
            <w:rFonts w:ascii="Times New Roman" w:hAnsi="Times New Roman" w:cs="Times New Roman"/>
            <w:b w:val="0"/>
            <w:bCs w:val="0"/>
            <w:i w:val="0"/>
            <w:iCs w:val="0"/>
            <w:noProof/>
            <w:webHidden/>
            <w:sz w:val="27"/>
            <w:szCs w:val="27"/>
          </w:rPr>
        </w:r>
        <w:r w:rsidR="006E1821" w:rsidRPr="00EC640A">
          <w:rPr>
            <w:rFonts w:ascii="Times New Roman" w:hAnsi="Times New Roman" w:cs="Times New Roman"/>
            <w:b w:val="0"/>
            <w:bCs w:val="0"/>
            <w:i w:val="0"/>
            <w:iCs w:val="0"/>
            <w:noProof/>
            <w:webHidden/>
            <w:sz w:val="27"/>
            <w:szCs w:val="27"/>
          </w:rPr>
          <w:fldChar w:fldCharType="separate"/>
        </w:r>
        <w:r w:rsidR="006E1821" w:rsidRPr="00EC640A">
          <w:rPr>
            <w:rFonts w:ascii="Times New Roman" w:hAnsi="Times New Roman" w:cs="Times New Roman"/>
            <w:b w:val="0"/>
            <w:bCs w:val="0"/>
            <w:i w:val="0"/>
            <w:iCs w:val="0"/>
            <w:noProof/>
            <w:webHidden/>
            <w:sz w:val="27"/>
            <w:szCs w:val="27"/>
          </w:rPr>
          <w:t>3</w:t>
        </w:r>
        <w:r w:rsidR="006E1821" w:rsidRPr="00EC640A">
          <w:rPr>
            <w:rFonts w:ascii="Times New Roman" w:hAnsi="Times New Roman" w:cs="Times New Roman"/>
            <w:b w:val="0"/>
            <w:bCs w:val="0"/>
            <w:i w:val="0"/>
            <w:iCs w:val="0"/>
            <w:noProof/>
            <w:webHidden/>
            <w:sz w:val="27"/>
            <w:szCs w:val="27"/>
          </w:rPr>
          <w:fldChar w:fldCharType="end"/>
        </w:r>
      </w:hyperlink>
    </w:p>
    <w:p w14:paraId="5A253DFB" w14:textId="77777777" w:rsidR="006E1821" w:rsidRPr="00EC640A" w:rsidRDefault="006E1821" w:rsidP="00EC640A">
      <w:pPr>
        <w:pStyle w:val="16"/>
        <w:tabs>
          <w:tab w:val="right" w:leader="dot" w:pos="9679"/>
        </w:tabs>
        <w:rPr>
          <w:rFonts w:ascii="Times New Roman" w:hAnsi="Times New Roman" w:cs="Times New Roman"/>
          <w:b w:val="0"/>
          <w:bCs w:val="0"/>
          <w:i w:val="0"/>
          <w:iCs w:val="0"/>
          <w:noProof/>
          <w:sz w:val="27"/>
          <w:szCs w:val="27"/>
        </w:rPr>
      </w:pPr>
      <w:hyperlink w:anchor="_Toc222574454" w:history="1">
        <w:r w:rsidRPr="00EC640A">
          <w:rPr>
            <w:rStyle w:val="aff8"/>
            <w:rFonts w:ascii="Times New Roman" w:hAnsi="Times New Roman" w:cs="Times New Roman"/>
            <w:b w:val="0"/>
            <w:bCs w:val="0"/>
            <w:i w:val="0"/>
            <w:iCs w:val="0"/>
            <w:noProof/>
            <w:sz w:val="27"/>
            <w:szCs w:val="27"/>
          </w:rPr>
          <w:t>Глава 1. Теоретические основы функционирования розничной торговли в цифровой экономике</w:t>
        </w:r>
        <w:r w:rsidRPr="00EC640A">
          <w:rPr>
            <w:rFonts w:ascii="Times New Roman" w:hAnsi="Times New Roman" w:cs="Times New Roman"/>
            <w:b w:val="0"/>
            <w:bCs w:val="0"/>
            <w:i w:val="0"/>
            <w:iCs w:val="0"/>
            <w:noProof/>
            <w:webHidden/>
            <w:sz w:val="27"/>
            <w:szCs w:val="27"/>
          </w:rPr>
          <w:tab/>
        </w:r>
        <w:r w:rsidRPr="00EC640A">
          <w:rPr>
            <w:rFonts w:ascii="Times New Roman" w:hAnsi="Times New Roman" w:cs="Times New Roman"/>
            <w:b w:val="0"/>
            <w:bCs w:val="0"/>
            <w:i w:val="0"/>
            <w:iCs w:val="0"/>
            <w:noProof/>
            <w:webHidden/>
            <w:sz w:val="27"/>
            <w:szCs w:val="27"/>
          </w:rPr>
          <w:fldChar w:fldCharType="begin"/>
        </w:r>
        <w:r w:rsidRPr="00EC640A">
          <w:rPr>
            <w:rFonts w:ascii="Times New Roman" w:hAnsi="Times New Roman" w:cs="Times New Roman"/>
            <w:b w:val="0"/>
            <w:bCs w:val="0"/>
            <w:i w:val="0"/>
            <w:iCs w:val="0"/>
            <w:noProof/>
            <w:webHidden/>
            <w:sz w:val="27"/>
            <w:szCs w:val="27"/>
          </w:rPr>
          <w:instrText xml:space="preserve"> PAGEREF _Toc222574454 \h </w:instrText>
        </w:r>
        <w:r w:rsidRPr="00EC640A">
          <w:rPr>
            <w:rFonts w:ascii="Times New Roman" w:hAnsi="Times New Roman" w:cs="Times New Roman"/>
            <w:b w:val="0"/>
            <w:bCs w:val="0"/>
            <w:i w:val="0"/>
            <w:iCs w:val="0"/>
            <w:noProof/>
            <w:webHidden/>
            <w:sz w:val="27"/>
            <w:szCs w:val="27"/>
          </w:rPr>
        </w:r>
        <w:r w:rsidRPr="00EC640A">
          <w:rPr>
            <w:rFonts w:ascii="Times New Roman" w:hAnsi="Times New Roman" w:cs="Times New Roman"/>
            <w:b w:val="0"/>
            <w:bCs w:val="0"/>
            <w:i w:val="0"/>
            <w:iCs w:val="0"/>
            <w:noProof/>
            <w:webHidden/>
            <w:sz w:val="27"/>
            <w:szCs w:val="27"/>
          </w:rPr>
          <w:fldChar w:fldCharType="separate"/>
        </w:r>
        <w:r w:rsidRPr="00EC640A">
          <w:rPr>
            <w:rFonts w:ascii="Times New Roman" w:hAnsi="Times New Roman" w:cs="Times New Roman"/>
            <w:b w:val="0"/>
            <w:bCs w:val="0"/>
            <w:i w:val="0"/>
            <w:iCs w:val="0"/>
            <w:noProof/>
            <w:webHidden/>
            <w:sz w:val="27"/>
            <w:szCs w:val="27"/>
          </w:rPr>
          <w:t>5</w:t>
        </w:r>
        <w:r w:rsidRPr="00EC640A">
          <w:rPr>
            <w:rFonts w:ascii="Times New Roman" w:hAnsi="Times New Roman" w:cs="Times New Roman"/>
            <w:b w:val="0"/>
            <w:bCs w:val="0"/>
            <w:i w:val="0"/>
            <w:iCs w:val="0"/>
            <w:noProof/>
            <w:webHidden/>
            <w:sz w:val="27"/>
            <w:szCs w:val="27"/>
          </w:rPr>
          <w:fldChar w:fldCharType="end"/>
        </w:r>
      </w:hyperlink>
    </w:p>
    <w:p w14:paraId="61C7A3EB" w14:textId="77777777" w:rsidR="006E1821" w:rsidRPr="00EC640A" w:rsidRDefault="006E1821" w:rsidP="00EC640A">
      <w:pPr>
        <w:pStyle w:val="2c"/>
        <w:tabs>
          <w:tab w:val="right" w:leader="dot" w:pos="9679"/>
        </w:tabs>
        <w:rPr>
          <w:rFonts w:ascii="Times New Roman" w:hAnsi="Times New Roman" w:cs="Times New Roman"/>
          <w:b w:val="0"/>
          <w:bCs w:val="0"/>
          <w:noProof/>
          <w:sz w:val="27"/>
          <w:szCs w:val="27"/>
        </w:rPr>
      </w:pPr>
      <w:hyperlink w:anchor="_Toc222574455" w:history="1">
        <w:r w:rsidRPr="00EC640A">
          <w:rPr>
            <w:rStyle w:val="aff8"/>
            <w:rFonts w:ascii="Times New Roman" w:hAnsi="Times New Roman" w:cs="Times New Roman"/>
            <w:b w:val="0"/>
            <w:bCs w:val="0"/>
            <w:noProof/>
            <w:sz w:val="27"/>
            <w:szCs w:val="27"/>
          </w:rPr>
          <w:t>1.1 Понятие и ключевые направления цифровой трансформации ритейла</w:t>
        </w:r>
        <w:r w:rsidRPr="00EC640A">
          <w:rPr>
            <w:rFonts w:ascii="Times New Roman" w:hAnsi="Times New Roman" w:cs="Times New Roman"/>
            <w:b w:val="0"/>
            <w:bCs w:val="0"/>
            <w:noProof/>
            <w:webHidden/>
            <w:sz w:val="27"/>
            <w:szCs w:val="27"/>
          </w:rPr>
          <w:tab/>
        </w:r>
        <w:r w:rsidRPr="00EC640A">
          <w:rPr>
            <w:rFonts w:ascii="Times New Roman" w:hAnsi="Times New Roman" w:cs="Times New Roman"/>
            <w:b w:val="0"/>
            <w:bCs w:val="0"/>
            <w:noProof/>
            <w:webHidden/>
            <w:sz w:val="27"/>
            <w:szCs w:val="27"/>
          </w:rPr>
          <w:fldChar w:fldCharType="begin"/>
        </w:r>
        <w:r w:rsidRPr="00EC640A">
          <w:rPr>
            <w:rFonts w:ascii="Times New Roman" w:hAnsi="Times New Roman" w:cs="Times New Roman"/>
            <w:b w:val="0"/>
            <w:bCs w:val="0"/>
            <w:noProof/>
            <w:webHidden/>
            <w:sz w:val="27"/>
            <w:szCs w:val="27"/>
          </w:rPr>
          <w:instrText xml:space="preserve"> PAGEREF _Toc222574455 \h </w:instrText>
        </w:r>
        <w:r w:rsidRPr="00EC640A">
          <w:rPr>
            <w:rFonts w:ascii="Times New Roman" w:hAnsi="Times New Roman" w:cs="Times New Roman"/>
            <w:b w:val="0"/>
            <w:bCs w:val="0"/>
            <w:noProof/>
            <w:webHidden/>
            <w:sz w:val="27"/>
            <w:szCs w:val="27"/>
          </w:rPr>
        </w:r>
        <w:r w:rsidRPr="00EC640A">
          <w:rPr>
            <w:rFonts w:ascii="Times New Roman" w:hAnsi="Times New Roman" w:cs="Times New Roman"/>
            <w:b w:val="0"/>
            <w:bCs w:val="0"/>
            <w:noProof/>
            <w:webHidden/>
            <w:sz w:val="27"/>
            <w:szCs w:val="27"/>
          </w:rPr>
          <w:fldChar w:fldCharType="separate"/>
        </w:r>
        <w:r w:rsidRPr="00EC640A">
          <w:rPr>
            <w:rFonts w:ascii="Times New Roman" w:hAnsi="Times New Roman" w:cs="Times New Roman"/>
            <w:b w:val="0"/>
            <w:bCs w:val="0"/>
            <w:noProof/>
            <w:webHidden/>
            <w:sz w:val="27"/>
            <w:szCs w:val="27"/>
          </w:rPr>
          <w:t>5</w:t>
        </w:r>
        <w:r w:rsidRPr="00EC640A">
          <w:rPr>
            <w:rFonts w:ascii="Times New Roman" w:hAnsi="Times New Roman" w:cs="Times New Roman"/>
            <w:b w:val="0"/>
            <w:bCs w:val="0"/>
            <w:noProof/>
            <w:webHidden/>
            <w:sz w:val="27"/>
            <w:szCs w:val="27"/>
          </w:rPr>
          <w:fldChar w:fldCharType="end"/>
        </w:r>
      </w:hyperlink>
    </w:p>
    <w:p w14:paraId="42E85120" w14:textId="77777777" w:rsidR="006E1821" w:rsidRPr="00EC640A" w:rsidRDefault="006E1821" w:rsidP="00EC640A">
      <w:pPr>
        <w:pStyle w:val="2c"/>
        <w:tabs>
          <w:tab w:val="right" w:leader="dot" w:pos="9679"/>
        </w:tabs>
        <w:rPr>
          <w:rFonts w:ascii="Times New Roman" w:hAnsi="Times New Roman" w:cs="Times New Roman"/>
          <w:b w:val="0"/>
          <w:bCs w:val="0"/>
          <w:noProof/>
          <w:sz w:val="27"/>
          <w:szCs w:val="27"/>
        </w:rPr>
      </w:pPr>
      <w:hyperlink w:anchor="_Toc222574456" w:history="1">
        <w:r w:rsidRPr="00EC640A">
          <w:rPr>
            <w:rStyle w:val="aff8"/>
            <w:rFonts w:ascii="Times New Roman" w:hAnsi="Times New Roman" w:cs="Times New Roman"/>
            <w:b w:val="0"/>
            <w:bCs w:val="0"/>
            <w:noProof/>
            <w:sz w:val="27"/>
            <w:szCs w:val="27"/>
          </w:rPr>
          <w:t>1.2 Механизмы и стратегии ценообразования в онлайн-с</w:t>
        </w:r>
        <w:r w:rsidRPr="00EC640A">
          <w:rPr>
            <w:rStyle w:val="aff8"/>
            <w:rFonts w:ascii="Times New Roman" w:hAnsi="Times New Roman" w:cs="Times New Roman"/>
            <w:b w:val="0"/>
            <w:bCs w:val="0"/>
            <w:noProof/>
            <w:sz w:val="27"/>
            <w:szCs w:val="27"/>
          </w:rPr>
          <w:t>р</w:t>
        </w:r>
        <w:r w:rsidRPr="00EC640A">
          <w:rPr>
            <w:rStyle w:val="aff8"/>
            <w:rFonts w:ascii="Times New Roman" w:hAnsi="Times New Roman" w:cs="Times New Roman"/>
            <w:b w:val="0"/>
            <w:bCs w:val="0"/>
            <w:noProof/>
            <w:sz w:val="27"/>
            <w:szCs w:val="27"/>
          </w:rPr>
          <w:t>еде</w:t>
        </w:r>
        <w:r w:rsidRPr="00EC640A">
          <w:rPr>
            <w:rFonts w:ascii="Times New Roman" w:hAnsi="Times New Roman" w:cs="Times New Roman"/>
            <w:b w:val="0"/>
            <w:bCs w:val="0"/>
            <w:noProof/>
            <w:webHidden/>
            <w:sz w:val="27"/>
            <w:szCs w:val="27"/>
          </w:rPr>
          <w:tab/>
        </w:r>
        <w:r w:rsidRPr="00EC640A">
          <w:rPr>
            <w:rFonts w:ascii="Times New Roman" w:hAnsi="Times New Roman" w:cs="Times New Roman"/>
            <w:b w:val="0"/>
            <w:bCs w:val="0"/>
            <w:noProof/>
            <w:webHidden/>
            <w:sz w:val="27"/>
            <w:szCs w:val="27"/>
          </w:rPr>
          <w:fldChar w:fldCharType="begin"/>
        </w:r>
        <w:r w:rsidRPr="00EC640A">
          <w:rPr>
            <w:rFonts w:ascii="Times New Roman" w:hAnsi="Times New Roman" w:cs="Times New Roman"/>
            <w:b w:val="0"/>
            <w:bCs w:val="0"/>
            <w:noProof/>
            <w:webHidden/>
            <w:sz w:val="27"/>
            <w:szCs w:val="27"/>
          </w:rPr>
          <w:instrText xml:space="preserve"> PAGEREF _Toc222574456 \h </w:instrText>
        </w:r>
        <w:r w:rsidRPr="00EC640A">
          <w:rPr>
            <w:rFonts w:ascii="Times New Roman" w:hAnsi="Times New Roman" w:cs="Times New Roman"/>
            <w:b w:val="0"/>
            <w:bCs w:val="0"/>
            <w:noProof/>
            <w:webHidden/>
            <w:sz w:val="27"/>
            <w:szCs w:val="27"/>
          </w:rPr>
        </w:r>
        <w:r w:rsidRPr="00EC640A">
          <w:rPr>
            <w:rFonts w:ascii="Times New Roman" w:hAnsi="Times New Roman" w:cs="Times New Roman"/>
            <w:b w:val="0"/>
            <w:bCs w:val="0"/>
            <w:noProof/>
            <w:webHidden/>
            <w:sz w:val="27"/>
            <w:szCs w:val="27"/>
          </w:rPr>
          <w:fldChar w:fldCharType="separate"/>
        </w:r>
        <w:r w:rsidRPr="00EC640A">
          <w:rPr>
            <w:rFonts w:ascii="Times New Roman" w:hAnsi="Times New Roman" w:cs="Times New Roman"/>
            <w:b w:val="0"/>
            <w:bCs w:val="0"/>
            <w:noProof/>
            <w:webHidden/>
            <w:sz w:val="27"/>
            <w:szCs w:val="27"/>
          </w:rPr>
          <w:t>10</w:t>
        </w:r>
        <w:r w:rsidRPr="00EC640A">
          <w:rPr>
            <w:rFonts w:ascii="Times New Roman" w:hAnsi="Times New Roman" w:cs="Times New Roman"/>
            <w:b w:val="0"/>
            <w:bCs w:val="0"/>
            <w:noProof/>
            <w:webHidden/>
            <w:sz w:val="27"/>
            <w:szCs w:val="27"/>
          </w:rPr>
          <w:fldChar w:fldCharType="end"/>
        </w:r>
      </w:hyperlink>
    </w:p>
    <w:p w14:paraId="657D21E6" w14:textId="77777777" w:rsidR="006E1821" w:rsidRPr="00EC640A" w:rsidRDefault="006E1821" w:rsidP="00EC640A">
      <w:pPr>
        <w:pStyle w:val="2c"/>
        <w:tabs>
          <w:tab w:val="right" w:leader="dot" w:pos="9679"/>
        </w:tabs>
        <w:rPr>
          <w:rFonts w:ascii="Times New Roman" w:hAnsi="Times New Roman" w:cs="Times New Roman"/>
          <w:b w:val="0"/>
          <w:bCs w:val="0"/>
          <w:noProof/>
          <w:sz w:val="27"/>
          <w:szCs w:val="27"/>
        </w:rPr>
      </w:pPr>
      <w:hyperlink w:anchor="_Toc222574457" w:history="1">
        <w:r w:rsidRPr="00EC640A">
          <w:rPr>
            <w:rStyle w:val="aff8"/>
            <w:rFonts w:ascii="Times New Roman" w:hAnsi="Times New Roman" w:cs="Times New Roman"/>
            <w:b w:val="0"/>
            <w:bCs w:val="0"/>
            <w:noProof/>
            <w:sz w:val="27"/>
            <w:szCs w:val="27"/>
          </w:rPr>
          <w:t>1.3 Модели потребительского поведения в условиях омниканальности</w:t>
        </w:r>
        <w:r w:rsidRPr="00EC640A">
          <w:rPr>
            <w:rFonts w:ascii="Times New Roman" w:hAnsi="Times New Roman" w:cs="Times New Roman"/>
            <w:b w:val="0"/>
            <w:bCs w:val="0"/>
            <w:noProof/>
            <w:webHidden/>
            <w:sz w:val="27"/>
            <w:szCs w:val="27"/>
          </w:rPr>
          <w:tab/>
        </w:r>
        <w:r w:rsidRPr="00EC640A">
          <w:rPr>
            <w:rFonts w:ascii="Times New Roman" w:hAnsi="Times New Roman" w:cs="Times New Roman"/>
            <w:b w:val="0"/>
            <w:bCs w:val="0"/>
            <w:noProof/>
            <w:webHidden/>
            <w:sz w:val="27"/>
            <w:szCs w:val="27"/>
          </w:rPr>
          <w:fldChar w:fldCharType="begin"/>
        </w:r>
        <w:r w:rsidRPr="00EC640A">
          <w:rPr>
            <w:rFonts w:ascii="Times New Roman" w:hAnsi="Times New Roman" w:cs="Times New Roman"/>
            <w:b w:val="0"/>
            <w:bCs w:val="0"/>
            <w:noProof/>
            <w:webHidden/>
            <w:sz w:val="27"/>
            <w:szCs w:val="27"/>
          </w:rPr>
          <w:instrText xml:space="preserve"> PAGEREF _Toc222574457 \h </w:instrText>
        </w:r>
        <w:r w:rsidRPr="00EC640A">
          <w:rPr>
            <w:rFonts w:ascii="Times New Roman" w:hAnsi="Times New Roman" w:cs="Times New Roman"/>
            <w:b w:val="0"/>
            <w:bCs w:val="0"/>
            <w:noProof/>
            <w:webHidden/>
            <w:sz w:val="27"/>
            <w:szCs w:val="27"/>
          </w:rPr>
        </w:r>
        <w:r w:rsidRPr="00EC640A">
          <w:rPr>
            <w:rFonts w:ascii="Times New Roman" w:hAnsi="Times New Roman" w:cs="Times New Roman"/>
            <w:b w:val="0"/>
            <w:bCs w:val="0"/>
            <w:noProof/>
            <w:webHidden/>
            <w:sz w:val="27"/>
            <w:szCs w:val="27"/>
          </w:rPr>
          <w:fldChar w:fldCharType="separate"/>
        </w:r>
        <w:r w:rsidRPr="00EC640A">
          <w:rPr>
            <w:rFonts w:ascii="Times New Roman" w:hAnsi="Times New Roman" w:cs="Times New Roman"/>
            <w:b w:val="0"/>
            <w:bCs w:val="0"/>
            <w:noProof/>
            <w:webHidden/>
            <w:sz w:val="27"/>
            <w:szCs w:val="27"/>
          </w:rPr>
          <w:t>15</w:t>
        </w:r>
        <w:r w:rsidRPr="00EC640A">
          <w:rPr>
            <w:rFonts w:ascii="Times New Roman" w:hAnsi="Times New Roman" w:cs="Times New Roman"/>
            <w:b w:val="0"/>
            <w:bCs w:val="0"/>
            <w:noProof/>
            <w:webHidden/>
            <w:sz w:val="27"/>
            <w:szCs w:val="27"/>
          </w:rPr>
          <w:fldChar w:fldCharType="end"/>
        </w:r>
      </w:hyperlink>
    </w:p>
    <w:p w14:paraId="0C8A5644" w14:textId="79556D44" w:rsidR="006E1821" w:rsidRPr="00EC640A" w:rsidRDefault="006E1821" w:rsidP="00EC640A">
      <w:pPr>
        <w:pStyle w:val="16"/>
        <w:tabs>
          <w:tab w:val="right" w:leader="dot" w:pos="9679"/>
        </w:tabs>
        <w:rPr>
          <w:rFonts w:ascii="Times New Roman" w:hAnsi="Times New Roman" w:cs="Times New Roman"/>
          <w:b w:val="0"/>
          <w:bCs w:val="0"/>
          <w:i w:val="0"/>
          <w:iCs w:val="0"/>
          <w:noProof/>
          <w:sz w:val="27"/>
          <w:szCs w:val="27"/>
        </w:rPr>
      </w:pPr>
      <w:hyperlink w:anchor="_Toc222574458" w:history="1">
        <w:r w:rsidRPr="00EC640A">
          <w:rPr>
            <w:rStyle w:val="aff8"/>
            <w:rFonts w:ascii="Times New Roman" w:hAnsi="Times New Roman" w:cs="Times New Roman"/>
            <w:b w:val="0"/>
            <w:bCs w:val="0"/>
            <w:i w:val="0"/>
            <w:iCs w:val="0"/>
            <w:noProof/>
            <w:sz w:val="27"/>
            <w:szCs w:val="27"/>
          </w:rPr>
          <w:t>Глава 2. Анализ влияния цифровизации на российский рынок рит</w:t>
        </w:r>
        <w:r w:rsidRPr="00EC640A">
          <w:rPr>
            <w:rStyle w:val="aff8"/>
            <w:rFonts w:ascii="Times New Roman" w:hAnsi="Times New Roman" w:cs="Times New Roman"/>
            <w:b w:val="0"/>
            <w:bCs w:val="0"/>
            <w:i w:val="0"/>
            <w:iCs w:val="0"/>
            <w:noProof/>
            <w:sz w:val="27"/>
            <w:szCs w:val="27"/>
          </w:rPr>
          <w:t>е</w:t>
        </w:r>
        <w:r w:rsidRPr="00EC640A">
          <w:rPr>
            <w:rStyle w:val="aff8"/>
            <w:rFonts w:ascii="Times New Roman" w:hAnsi="Times New Roman" w:cs="Times New Roman"/>
            <w:b w:val="0"/>
            <w:bCs w:val="0"/>
            <w:i w:val="0"/>
            <w:iCs w:val="0"/>
            <w:noProof/>
            <w:sz w:val="27"/>
            <w:szCs w:val="27"/>
          </w:rPr>
          <w:t>йла</w:t>
        </w:r>
        <w:r w:rsidRPr="00EC640A">
          <w:rPr>
            <w:rFonts w:ascii="Times New Roman" w:hAnsi="Times New Roman" w:cs="Times New Roman"/>
            <w:b w:val="0"/>
            <w:bCs w:val="0"/>
            <w:i w:val="0"/>
            <w:iCs w:val="0"/>
            <w:noProof/>
            <w:webHidden/>
            <w:sz w:val="27"/>
            <w:szCs w:val="27"/>
          </w:rPr>
          <w:tab/>
        </w:r>
        <w:r w:rsidR="00577F3D">
          <w:rPr>
            <w:rFonts w:ascii="Times New Roman" w:hAnsi="Times New Roman" w:cs="Times New Roman"/>
            <w:b w:val="0"/>
            <w:bCs w:val="0"/>
            <w:i w:val="0"/>
            <w:iCs w:val="0"/>
            <w:noProof/>
            <w:webHidden/>
            <w:sz w:val="27"/>
            <w:szCs w:val="27"/>
            <w:lang w:val="ru-RU"/>
          </w:rPr>
          <w:t>20</w:t>
        </w:r>
      </w:hyperlink>
    </w:p>
    <w:p w14:paraId="321C1CC9" w14:textId="719C3E4B" w:rsidR="006E1821" w:rsidRPr="00EC640A" w:rsidRDefault="006E1821" w:rsidP="00EC640A">
      <w:pPr>
        <w:pStyle w:val="2c"/>
        <w:tabs>
          <w:tab w:val="right" w:leader="dot" w:pos="9679"/>
        </w:tabs>
        <w:rPr>
          <w:rFonts w:ascii="Times New Roman" w:hAnsi="Times New Roman" w:cs="Times New Roman"/>
          <w:b w:val="0"/>
          <w:bCs w:val="0"/>
          <w:noProof/>
          <w:sz w:val="27"/>
          <w:szCs w:val="27"/>
        </w:rPr>
      </w:pPr>
      <w:hyperlink w:anchor="_Toc222574459" w:history="1">
        <w:r w:rsidRPr="00EC640A">
          <w:rPr>
            <w:rStyle w:val="aff8"/>
            <w:rFonts w:ascii="Times New Roman" w:hAnsi="Times New Roman" w:cs="Times New Roman"/>
            <w:b w:val="0"/>
            <w:bCs w:val="0"/>
            <w:noProof/>
            <w:sz w:val="27"/>
            <w:szCs w:val="27"/>
          </w:rPr>
          <w:t>2.1 Современное состояние и динам</w:t>
        </w:r>
        <w:r w:rsidRPr="00EC640A">
          <w:rPr>
            <w:rStyle w:val="aff8"/>
            <w:rFonts w:ascii="Times New Roman" w:hAnsi="Times New Roman" w:cs="Times New Roman"/>
            <w:b w:val="0"/>
            <w:bCs w:val="0"/>
            <w:noProof/>
            <w:sz w:val="27"/>
            <w:szCs w:val="27"/>
          </w:rPr>
          <w:t>и</w:t>
        </w:r>
        <w:r w:rsidRPr="00EC640A">
          <w:rPr>
            <w:rStyle w:val="aff8"/>
            <w:rFonts w:ascii="Times New Roman" w:hAnsi="Times New Roman" w:cs="Times New Roman"/>
            <w:b w:val="0"/>
            <w:bCs w:val="0"/>
            <w:noProof/>
            <w:sz w:val="27"/>
            <w:szCs w:val="27"/>
          </w:rPr>
          <w:t>ка развития электронной коммерции в РФ</w:t>
        </w:r>
        <w:r w:rsidRPr="00EC640A">
          <w:rPr>
            <w:rFonts w:ascii="Times New Roman" w:hAnsi="Times New Roman" w:cs="Times New Roman"/>
            <w:b w:val="0"/>
            <w:bCs w:val="0"/>
            <w:noProof/>
            <w:webHidden/>
            <w:sz w:val="27"/>
            <w:szCs w:val="27"/>
          </w:rPr>
          <w:tab/>
        </w:r>
        <w:r w:rsidR="00577F3D">
          <w:rPr>
            <w:rFonts w:ascii="Times New Roman" w:hAnsi="Times New Roman" w:cs="Times New Roman"/>
            <w:b w:val="0"/>
            <w:bCs w:val="0"/>
            <w:noProof/>
            <w:webHidden/>
            <w:sz w:val="27"/>
            <w:szCs w:val="27"/>
            <w:lang w:val="ru-RU"/>
          </w:rPr>
          <w:t>20</w:t>
        </w:r>
      </w:hyperlink>
    </w:p>
    <w:p w14:paraId="7B8919B1" w14:textId="19FB9D2D" w:rsidR="006E1821" w:rsidRPr="00EC640A" w:rsidRDefault="006E1821" w:rsidP="00EC640A">
      <w:pPr>
        <w:pStyle w:val="2c"/>
        <w:tabs>
          <w:tab w:val="right" w:leader="dot" w:pos="9679"/>
        </w:tabs>
        <w:rPr>
          <w:rFonts w:ascii="Times New Roman" w:hAnsi="Times New Roman" w:cs="Times New Roman"/>
          <w:b w:val="0"/>
          <w:bCs w:val="0"/>
          <w:noProof/>
          <w:sz w:val="27"/>
          <w:szCs w:val="27"/>
        </w:rPr>
      </w:pPr>
      <w:hyperlink w:anchor="_Toc222574460" w:history="1">
        <w:r w:rsidRPr="00EC640A">
          <w:rPr>
            <w:rStyle w:val="aff8"/>
            <w:rFonts w:ascii="Times New Roman" w:hAnsi="Times New Roman" w:cs="Times New Roman"/>
            <w:b w:val="0"/>
            <w:bCs w:val="0"/>
            <w:noProof/>
            <w:sz w:val="27"/>
            <w:szCs w:val="27"/>
          </w:rPr>
          <w:t>2.2 Специфика ценовой конкурен</w:t>
        </w:r>
        <w:r w:rsidRPr="00EC640A">
          <w:rPr>
            <w:rStyle w:val="aff8"/>
            <w:rFonts w:ascii="Times New Roman" w:hAnsi="Times New Roman" w:cs="Times New Roman"/>
            <w:b w:val="0"/>
            <w:bCs w:val="0"/>
            <w:noProof/>
            <w:sz w:val="27"/>
            <w:szCs w:val="27"/>
          </w:rPr>
          <w:t>ц</w:t>
        </w:r>
        <w:r w:rsidRPr="00EC640A">
          <w:rPr>
            <w:rStyle w:val="aff8"/>
            <w:rFonts w:ascii="Times New Roman" w:hAnsi="Times New Roman" w:cs="Times New Roman"/>
            <w:b w:val="0"/>
            <w:bCs w:val="0"/>
            <w:noProof/>
            <w:sz w:val="27"/>
            <w:szCs w:val="27"/>
          </w:rPr>
          <w:t>ии и экосистемного подхода в России</w:t>
        </w:r>
        <w:r w:rsidRPr="00EC640A">
          <w:rPr>
            <w:rFonts w:ascii="Times New Roman" w:hAnsi="Times New Roman" w:cs="Times New Roman"/>
            <w:b w:val="0"/>
            <w:bCs w:val="0"/>
            <w:noProof/>
            <w:webHidden/>
            <w:sz w:val="27"/>
            <w:szCs w:val="27"/>
          </w:rPr>
          <w:tab/>
        </w:r>
        <w:r w:rsidR="00577F3D">
          <w:rPr>
            <w:rFonts w:ascii="Times New Roman" w:hAnsi="Times New Roman" w:cs="Times New Roman"/>
            <w:b w:val="0"/>
            <w:bCs w:val="0"/>
            <w:noProof/>
            <w:webHidden/>
            <w:sz w:val="27"/>
            <w:szCs w:val="27"/>
            <w:lang w:val="ru-RU"/>
          </w:rPr>
          <w:t>26</w:t>
        </w:r>
      </w:hyperlink>
    </w:p>
    <w:p w14:paraId="55AB90DD" w14:textId="3F2037EA" w:rsidR="006E1821" w:rsidRPr="00EC640A" w:rsidRDefault="006E1821" w:rsidP="00EC640A">
      <w:pPr>
        <w:pStyle w:val="2c"/>
        <w:tabs>
          <w:tab w:val="right" w:leader="dot" w:pos="9679"/>
        </w:tabs>
        <w:rPr>
          <w:rFonts w:ascii="Times New Roman" w:hAnsi="Times New Roman" w:cs="Times New Roman"/>
          <w:b w:val="0"/>
          <w:bCs w:val="0"/>
          <w:noProof/>
          <w:sz w:val="27"/>
          <w:szCs w:val="27"/>
        </w:rPr>
      </w:pPr>
      <w:hyperlink w:anchor="_Toc222574461" w:history="1">
        <w:r w:rsidRPr="00EC640A">
          <w:rPr>
            <w:rStyle w:val="aff8"/>
            <w:rFonts w:ascii="Times New Roman" w:hAnsi="Times New Roman" w:cs="Times New Roman"/>
            <w:b w:val="0"/>
            <w:bCs w:val="0"/>
            <w:noProof/>
            <w:sz w:val="27"/>
            <w:szCs w:val="27"/>
          </w:rPr>
          <w:t>2.3 Эвол</w:t>
        </w:r>
        <w:r w:rsidRPr="00EC640A">
          <w:rPr>
            <w:rStyle w:val="aff8"/>
            <w:rFonts w:ascii="Times New Roman" w:hAnsi="Times New Roman" w:cs="Times New Roman"/>
            <w:b w:val="0"/>
            <w:bCs w:val="0"/>
            <w:noProof/>
            <w:sz w:val="27"/>
            <w:szCs w:val="27"/>
          </w:rPr>
          <w:t>ю</w:t>
        </w:r>
        <w:r w:rsidRPr="00EC640A">
          <w:rPr>
            <w:rStyle w:val="aff8"/>
            <w:rFonts w:ascii="Times New Roman" w:hAnsi="Times New Roman" w:cs="Times New Roman"/>
            <w:b w:val="0"/>
            <w:bCs w:val="0"/>
            <w:noProof/>
            <w:sz w:val="27"/>
            <w:szCs w:val="27"/>
          </w:rPr>
          <w:t>ция предпочтений и привычек российских потребителей под влиянием маркетплейсов</w:t>
        </w:r>
        <w:r w:rsidRPr="00EC640A">
          <w:rPr>
            <w:rFonts w:ascii="Times New Roman" w:hAnsi="Times New Roman" w:cs="Times New Roman"/>
            <w:b w:val="0"/>
            <w:bCs w:val="0"/>
            <w:noProof/>
            <w:webHidden/>
            <w:sz w:val="27"/>
            <w:szCs w:val="27"/>
          </w:rPr>
          <w:tab/>
        </w:r>
        <w:r w:rsidR="00577F3D">
          <w:rPr>
            <w:rFonts w:ascii="Times New Roman" w:hAnsi="Times New Roman" w:cs="Times New Roman"/>
            <w:b w:val="0"/>
            <w:bCs w:val="0"/>
            <w:noProof/>
            <w:webHidden/>
            <w:sz w:val="27"/>
            <w:szCs w:val="27"/>
            <w:lang w:val="ru-RU"/>
          </w:rPr>
          <w:t>32</w:t>
        </w:r>
      </w:hyperlink>
    </w:p>
    <w:p w14:paraId="31E147FA" w14:textId="37EA2257" w:rsidR="006E1821" w:rsidRPr="00577F3D" w:rsidRDefault="006E1821" w:rsidP="00EC640A">
      <w:pPr>
        <w:pStyle w:val="16"/>
        <w:tabs>
          <w:tab w:val="right" w:leader="dot" w:pos="9679"/>
        </w:tabs>
        <w:rPr>
          <w:rFonts w:ascii="Times New Roman" w:hAnsi="Times New Roman" w:cs="Times New Roman"/>
          <w:b w:val="0"/>
          <w:bCs w:val="0"/>
          <w:i w:val="0"/>
          <w:iCs w:val="0"/>
          <w:noProof/>
          <w:sz w:val="27"/>
          <w:szCs w:val="27"/>
          <w:lang w:val="ru-RU"/>
        </w:rPr>
      </w:pPr>
      <w:hyperlink w:anchor="_Toc222574462" w:history="1">
        <w:r w:rsidRPr="00EC640A">
          <w:rPr>
            <w:rStyle w:val="aff8"/>
            <w:rFonts w:ascii="Times New Roman" w:hAnsi="Times New Roman" w:cs="Times New Roman"/>
            <w:b w:val="0"/>
            <w:bCs w:val="0"/>
            <w:i w:val="0"/>
            <w:iCs w:val="0"/>
            <w:noProof/>
            <w:sz w:val="27"/>
            <w:szCs w:val="27"/>
          </w:rPr>
          <w:t>Заключение</w:t>
        </w:r>
        <w:r w:rsidRPr="00EC640A">
          <w:rPr>
            <w:rFonts w:ascii="Times New Roman" w:hAnsi="Times New Roman" w:cs="Times New Roman"/>
            <w:b w:val="0"/>
            <w:bCs w:val="0"/>
            <w:i w:val="0"/>
            <w:iCs w:val="0"/>
            <w:noProof/>
            <w:webHidden/>
            <w:sz w:val="27"/>
            <w:szCs w:val="27"/>
          </w:rPr>
          <w:tab/>
        </w:r>
        <w:r w:rsidRPr="00EC640A">
          <w:rPr>
            <w:rFonts w:ascii="Times New Roman" w:hAnsi="Times New Roman" w:cs="Times New Roman"/>
            <w:b w:val="0"/>
            <w:bCs w:val="0"/>
            <w:i w:val="0"/>
            <w:iCs w:val="0"/>
            <w:noProof/>
            <w:webHidden/>
            <w:sz w:val="27"/>
            <w:szCs w:val="27"/>
          </w:rPr>
          <w:fldChar w:fldCharType="begin"/>
        </w:r>
        <w:r w:rsidRPr="00EC640A">
          <w:rPr>
            <w:rFonts w:ascii="Times New Roman" w:hAnsi="Times New Roman" w:cs="Times New Roman"/>
            <w:b w:val="0"/>
            <w:bCs w:val="0"/>
            <w:i w:val="0"/>
            <w:iCs w:val="0"/>
            <w:noProof/>
            <w:webHidden/>
            <w:sz w:val="27"/>
            <w:szCs w:val="27"/>
          </w:rPr>
          <w:instrText xml:space="preserve"> PAGEREF _Toc222574462 \h </w:instrText>
        </w:r>
        <w:r w:rsidRPr="00EC640A">
          <w:rPr>
            <w:rFonts w:ascii="Times New Roman" w:hAnsi="Times New Roman" w:cs="Times New Roman"/>
            <w:b w:val="0"/>
            <w:bCs w:val="0"/>
            <w:i w:val="0"/>
            <w:iCs w:val="0"/>
            <w:noProof/>
            <w:webHidden/>
            <w:sz w:val="27"/>
            <w:szCs w:val="27"/>
          </w:rPr>
        </w:r>
        <w:r w:rsidRPr="00EC640A">
          <w:rPr>
            <w:rFonts w:ascii="Times New Roman" w:hAnsi="Times New Roman" w:cs="Times New Roman"/>
            <w:b w:val="0"/>
            <w:bCs w:val="0"/>
            <w:i w:val="0"/>
            <w:iCs w:val="0"/>
            <w:noProof/>
            <w:webHidden/>
            <w:sz w:val="27"/>
            <w:szCs w:val="27"/>
          </w:rPr>
          <w:fldChar w:fldCharType="separate"/>
        </w:r>
        <w:r w:rsidRPr="00EC640A">
          <w:rPr>
            <w:rFonts w:ascii="Times New Roman" w:hAnsi="Times New Roman" w:cs="Times New Roman"/>
            <w:b w:val="0"/>
            <w:bCs w:val="0"/>
            <w:i w:val="0"/>
            <w:iCs w:val="0"/>
            <w:noProof/>
            <w:webHidden/>
            <w:sz w:val="27"/>
            <w:szCs w:val="27"/>
          </w:rPr>
          <w:t>3</w:t>
        </w:r>
        <w:r w:rsidR="00577F3D">
          <w:rPr>
            <w:rFonts w:ascii="Times New Roman" w:hAnsi="Times New Roman" w:cs="Times New Roman"/>
            <w:b w:val="0"/>
            <w:bCs w:val="0"/>
            <w:i w:val="0"/>
            <w:iCs w:val="0"/>
            <w:noProof/>
            <w:webHidden/>
            <w:sz w:val="27"/>
            <w:szCs w:val="27"/>
            <w:lang w:val="ru-RU"/>
          </w:rPr>
          <w:t>8</w:t>
        </w:r>
        <w:r w:rsidRPr="00EC640A">
          <w:rPr>
            <w:rFonts w:ascii="Times New Roman" w:hAnsi="Times New Roman" w:cs="Times New Roman"/>
            <w:b w:val="0"/>
            <w:bCs w:val="0"/>
            <w:i w:val="0"/>
            <w:iCs w:val="0"/>
            <w:noProof/>
            <w:webHidden/>
            <w:sz w:val="27"/>
            <w:szCs w:val="27"/>
          </w:rPr>
          <w:fldChar w:fldCharType="end"/>
        </w:r>
      </w:hyperlink>
    </w:p>
    <w:p w14:paraId="2A93058F" w14:textId="1BF6D22E" w:rsidR="006E1821" w:rsidRDefault="006E1821" w:rsidP="00EC640A">
      <w:pPr>
        <w:pStyle w:val="16"/>
        <w:tabs>
          <w:tab w:val="right" w:leader="dot" w:pos="9679"/>
        </w:tabs>
        <w:rPr>
          <w:noProof/>
        </w:rPr>
      </w:pPr>
      <w:hyperlink w:anchor="_Toc222574463" w:history="1">
        <w:r w:rsidRPr="00EC640A">
          <w:rPr>
            <w:rStyle w:val="aff8"/>
            <w:rFonts w:ascii="Times New Roman" w:hAnsi="Times New Roman" w:cs="Times New Roman"/>
            <w:b w:val="0"/>
            <w:bCs w:val="0"/>
            <w:i w:val="0"/>
            <w:iCs w:val="0"/>
            <w:noProof/>
            <w:sz w:val="27"/>
            <w:szCs w:val="27"/>
          </w:rPr>
          <w:t>Список источников и литературы</w:t>
        </w:r>
        <w:r w:rsidRPr="00EC640A">
          <w:rPr>
            <w:rFonts w:ascii="Times New Roman" w:hAnsi="Times New Roman" w:cs="Times New Roman"/>
            <w:b w:val="0"/>
            <w:bCs w:val="0"/>
            <w:i w:val="0"/>
            <w:iCs w:val="0"/>
            <w:noProof/>
            <w:webHidden/>
            <w:sz w:val="27"/>
            <w:szCs w:val="27"/>
          </w:rPr>
          <w:tab/>
        </w:r>
        <w:r w:rsidR="00577F3D">
          <w:rPr>
            <w:rFonts w:ascii="Times New Roman" w:hAnsi="Times New Roman" w:cs="Times New Roman"/>
            <w:b w:val="0"/>
            <w:bCs w:val="0"/>
            <w:i w:val="0"/>
            <w:iCs w:val="0"/>
            <w:noProof/>
            <w:webHidden/>
            <w:sz w:val="27"/>
            <w:szCs w:val="27"/>
            <w:lang w:val="ru-RU"/>
          </w:rPr>
          <w:t>40</w:t>
        </w:r>
      </w:hyperlink>
    </w:p>
    <w:p w14:paraId="6548FA37" w14:textId="77777777" w:rsidR="005C688F" w:rsidRDefault="00000000">
      <w:r>
        <w:fldChar w:fldCharType="end"/>
      </w:r>
    </w:p>
    <w:p w14:paraId="3BB403D2" w14:textId="77777777" w:rsidR="005C688F" w:rsidRDefault="00000000">
      <w:r>
        <w:br w:type="page"/>
      </w:r>
    </w:p>
    <w:p w14:paraId="04036217" w14:textId="77777777" w:rsidR="005C688F" w:rsidRPr="00EC640A" w:rsidRDefault="00000000">
      <w:pPr>
        <w:pStyle w:val="1"/>
        <w:ind w:firstLine="0"/>
        <w:jc w:val="center"/>
        <w:rPr>
          <w:lang w:val="ru-RU"/>
        </w:rPr>
      </w:pPr>
      <w:bookmarkStart w:id="0" w:name="_Toc222574453"/>
      <w:r w:rsidRPr="00EC640A">
        <w:rPr>
          <w:rFonts w:ascii="Times New Roman" w:hAnsi="Times New Roman"/>
          <w:lang w:val="ru-RU"/>
        </w:rPr>
        <w:lastRenderedPageBreak/>
        <w:t>Введение</w:t>
      </w:r>
      <w:bookmarkEnd w:id="0"/>
    </w:p>
    <w:p w14:paraId="10D6B4D2" w14:textId="77777777" w:rsidR="005C688F" w:rsidRPr="00EC640A" w:rsidRDefault="00000000">
      <w:pPr>
        <w:rPr>
          <w:lang w:val="ru-RU"/>
        </w:rPr>
      </w:pPr>
      <w:r w:rsidRPr="00EC640A">
        <w:rPr>
          <w:lang w:val="ru-RU"/>
        </w:rPr>
        <w:t>В современных условиях особое значение приобретает цифровая трансформация ритейла, которая фундаментально меняет структуру не только глобальной, но и российской экономики. На сегодняшний день одной из ключевых проблем является сложная адаптация традиционных бизнес-моделей к жестким реалиям цифровых экосистем и алгоритмического ценообразования. В эпоху стремительных изменений в сфере торговли акцент на глубокой персонализации предложения и динамическом управлении ценами становится важнее прежнего. Традиционные подходы к взаимодействию с покупателем уже не всегда отвечают требованиям времени, так как путь клиента становится нелинейным и омниканальным. Актуальность темы обусловлена не только технологическим прогрессом, но и взрывным ростом маркетплейсов в России, доля которых к началу 2026 года достигла исторических максимумов. Это требует глубокого осмысления новых правил конкуренции, где цена и удобство сервиса становятся определяющими факторами успеха, влияющими на выживаемость компаний</w:t>
      </w:r>
      <w:r>
        <w:rPr>
          <w:vertAlign w:val="superscript"/>
        </w:rPr>
        <w:footnoteReference w:id="1"/>
      </w:r>
      <w:r w:rsidRPr="00EC640A">
        <w:rPr>
          <w:lang w:val="ru-RU"/>
        </w:rPr>
        <w:t>.</w:t>
      </w:r>
    </w:p>
    <w:p w14:paraId="17E39310" w14:textId="77777777" w:rsidR="005C688F" w:rsidRPr="00EC640A" w:rsidRDefault="00000000">
      <w:pPr>
        <w:rPr>
          <w:lang w:val="ru-RU"/>
        </w:rPr>
      </w:pPr>
      <w:r w:rsidRPr="00EC640A">
        <w:rPr>
          <w:lang w:val="ru-RU"/>
        </w:rPr>
        <w:t xml:space="preserve">Целью этой работы является комплексное выявление и анализ влияния внедрения цифровых технологий на стратегии ценообразования торговых предприятий и трансформацию потребительских привычек на российском рынке. Для достижения поставленной цели необходимо решить ряд конкретных задач. Во-первых, важно изучить теоретические основы цифровизации ритейла и детально рассмотреть существующие механизмы ценообразования в онлайн-среде. Во-вторых, следует проанализировать модели поведения покупателей в условиях стирания границ между онлайн и офлайн каналами продаж. В-третьих, нужно оценить текущее состояние и динамику сектора электронной коммерции в РФ, а также выявить специфику ценовой конкуренции внутри российских </w:t>
      </w:r>
      <w:r w:rsidRPr="00EC640A">
        <w:rPr>
          <w:lang w:val="ru-RU"/>
        </w:rPr>
        <w:lastRenderedPageBreak/>
        <w:t>цифровых экосистем. Наконец, требуется определить, как именно развитие сервисов быстрой доставки и маркетплейсов изменило предпочтения и требования россиян.</w:t>
      </w:r>
    </w:p>
    <w:p w14:paraId="108D9E30" w14:textId="77777777" w:rsidR="005C688F" w:rsidRPr="00EC640A" w:rsidRDefault="00000000">
      <w:pPr>
        <w:rPr>
          <w:lang w:val="ru-RU"/>
        </w:rPr>
      </w:pPr>
      <w:r w:rsidRPr="00EC640A">
        <w:rPr>
          <w:lang w:val="ru-RU"/>
        </w:rPr>
        <w:t>Объектом исследования выступает сектор розничной торговли Российской Федерации, находящийся в стадии активной цифровизации. Предметом исследования являются экономические отношения, возникающие в процессе трансформации механизмов ценообразования и кардинального изменения паттернов потребительского поведения под воздействием современных технологий. Методологическая база работы включает в себя общенаучные методы познания: анализ литературы, синтез теоретических подходов, индукцию и дедукцию. Также в работе активно применяются статистический анализ данных Росстата и аналитических агентств, графический метод и сравнительный анализ стратегий ключевых игроков рынка.</w:t>
      </w:r>
    </w:p>
    <w:p w14:paraId="23FA54F5" w14:textId="77777777" w:rsidR="005C688F" w:rsidRPr="00EC640A" w:rsidRDefault="00000000">
      <w:pPr>
        <w:rPr>
          <w:lang w:val="ru-RU"/>
        </w:rPr>
      </w:pPr>
      <w:r w:rsidRPr="00EC640A">
        <w:rPr>
          <w:lang w:val="ru-RU"/>
        </w:rPr>
        <w:t xml:space="preserve">Структура курсовой работы логически обусловлена поставленными целью и задачами. Работа состоит из введения, двух глав, заключения и списка литературы. В первой главе рассматриваются теоретические аспекты функционирования ритейла в цифровой экономике, включая эволюцию стратегий ценообразования и подходы к </w:t>
      </w:r>
      <w:proofErr w:type="spellStart"/>
      <w:r w:rsidRPr="00EC640A">
        <w:rPr>
          <w:lang w:val="ru-RU"/>
        </w:rPr>
        <w:t>омниканальности</w:t>
      </w:r>
      <w:proofErr w:type="spellEnd"/>
      <w:r w:rsidRPr="00EC640A">
        <w:rPr>
          <w:lang w:val="ru-RU"/>
        </w:rPr>
        <w:t>. Во второй главе проводится эмпирический анализ российского рынка, исследуется доминирование экосистем и эволюция привычек отечественных потребителей под влиянием цифровой среды.</w:t>
      </w:r>
    </w:p>
    <w:p w14:paraId="5599F359" w14:textId="77777777" w:rsidR="005C688F" w:rsidRPr="00EC640A" w:rsidRDefault="00000000">
      <w:pPr>
        <w:pStyle w:val="1"/>
        <w:pageBreakBefore/>
        <w:ind w:firstLine="0"/>
        <w:rPr>
          <w:lang w:val="ru-RU"/>
        </w:rPr>
      </w:pPr>
      <w:bookmarkStart w:id="1" w:name="_Toc222574454"/>
      <w:r w:rsidRPr="00EC640A">
        <w:rPr>
          <w:rFonts w:ascii="Times New Roman" w:hAnsi="Times New Roman"/>
          <w:lang w:val="ru-RU"/>
        </w:rPr>
        <w:lastRenderedPageBreak/>
        <w:t>Глава 1. Теоретические основы функционирования розничной торговли в цифровой экономике</w:t>
      </w:r>
      <w:bookmarkEnd w:id="1"/>
    </w:p>
    <w:p w14:paraId="0E198DF4" w14:textId="77777777" w:rsidR="005C688F" w:rsidRPr="00EC640A" w:rsidRDefault="00000000">
      <w:pPr>
        <w:pStyle w:val="21"/>
        <w:ind w:firstLine="0"/>
        <w:rPr>
          <w:lang w:val="ru-RU"/>
        </w:rPr>
      </w:pPr>
      <w:bookmarkStart w:id="2" w:name="_Toc222574455"/>
      <w:r w:rsidRPr="00EC640A">
        <w:rPr>
          <w:rFonts w:ascii="Times New Roman" w:hAnsi="Times New Roman"/>
          <w:lang w:val="ru-RU"/>
        </w:rPr>
        <w:t>1.1 Понятие и ключевые направления цифровой трансформации ритейла</w:t>
      </w:r>
      <w:bookmarkEnd w:id="2"/>
    </w:p>
    <w:p w14:paraId="05677D58" w14:textId="77777777" w:rsidR="005C688F" w:rsidRPr="00EC640A" w:rsidRDefault="00000000">
      <w:pPr>
        <w:rPr>
          <w:lang w:val="ru-RU"/>
        </w:rPr>
      </w:pPr>
      <w:r w:rsidRPr="00EC640A">
        <w:rPr>
          <w:lang w:val="ru-RU"/>
        </w:rPr>
        <w:t>В современной экономической науке под цифровой трансформацией розничной торговли понимается не просто внедрение отдельных информационных технологий, а фундаментальная перестройка бизнес-процессов, стратегий и организационной культуры предприятия на основе использования цифровых данных. Это процесс перехода от традиционной линейной модели создания добавленной стоимости к сетевой, платформенной модели, где взаимодействие участников рынка опосредовано алгоритмами и автоматизированными системами. Важно разграничивать понятия «оцифровка», «цифровизация» и «цифровая трансформация». Если первое подразумевает перевод информации из аналогового вида в цифровой, а второе — автоматизацию существующих процессов, то цифровая трансформация предполагает качественное изменение самой логики ведения бизнеса. В ритейле это выражается в переходе от продажи товаров к продаже клиентского опыта и сервиса, основанного на глубоком понимании потребностей покупателя.</w:t>
      </w:r>
    </w:p>
    <w:p w14:paraId="6E40592E" w14:textId="77777777" w:rsidR="005C688F" w:rsidRPr="00EC640A" w:rsidRDefault="00000000">
      <w:pPr>
        <w:rPr>
          <w:lang w:val="ru-RU"/>
        </w:rPr>
      </w:pPr>
      <w:r w:rsidRPr="00EC640A">
        <w:rPr>
          <w:lang w:val="ru-RU"/>
        </w:rPr>
        <w:t>Анализ литературы показывает, что ключевым драйвером изменений выступает необходимость обработки огромных массивов данных (</w:t>
      </w:r>
      <w:r>
        <w:t>Big</w:t>
      </w:r>
      <w:r w:rsidRPr="00EC640A">
        <w:rPr>
          <w:lang w:val="ru-RU"/>
        </w:rPr>
        <w:t xml:space="preserve"> </w:t>
      </w:r>
      <w:r>
        <w:t>Data</w:t>
      </w:r>
      <w:r w:rsidRPr="00EC640A">
        <w:rPr>
          <w:lang w:val="ru-RU"/>
        </w:rPr>
        <w:t xml:space="preserve">), которые генерируются в процессе взаимодействия с потребителями. Традиционная розница опиралась на исторические данные о продажах и интуицию менеджеров, в то время как цифровой ритейл функционирует в режиме реального времени, используя предиктивную аналитику. Этот подход позволяет не только реагировать на спрос, но и формировать его. Филип Котлер в своей работе, посвященной маркетингу нового поколения, отмечает, что технологии должны использоваться для создания такой потребительской ценности, которую невозможно обеспечить силами одних лишь людей. По мнению авторов </w:t>
      </w:r>
      <w:r w:rsidRPr="00EC640A">
        <w:rPr>
          <w:lang w:val="ru-RU"/>
        </w:rPr>
        <w:lastRenderedPageBreak/>
        <w:t>концепции «Маркетинг 5.0», цифровая трансформация направлена на создание симбиоза человеческого и машинного интеллекта, где технологии берут на себя рутинные операции и анализ данных, освобождая ресурсы для творческого и эмпатичного взаимодействия с клиентом</w:t>
      </w:r>
      <w:r>
        <w:rPr>
          <w:vertAlign w:val="superscript"/>
        </w:rPr>
        <w:footnoteReference w:id="2"/>
      </w:r>
      <w:r w:rsidRPr="00EC640A">
        <w:rPr>
          <w:lang w:val="ru-RU"/>
        </w:rPr>
        <w:t>.</w:t>
      </w:r>
    </w:p>
    <w:p w14:paraId="35AA2D1A" w14:textId="77777777" w:rsidR="005C688F" w:rsidRPr="00EC640A" w:rsidRDefault="00000000">
      <w:pPr>
        <w:rPr>
          <w:lang w:val="ru-RU"/>
        </w:rPr>
      </w:pPr>
      <w:r w:rsidRPr="00EC640A">
        <w:rPr>
          <w:lang w:val="ru-RU"/>
        </w:rPr>
        <w:t xml:space="preserve">Одним из центральных направлений трансформации является переход к платформенным бизнес-моделям. В отличие от классического ритейлера, который закупает товар и перепродает его с наценкой, цифровая платформа создает инфраструктуру для взаимодействия множества продавцов и покупателей. Экономическая природа таких платформ подробно рассматривается в трудах российских исследователей. Как указывает С.Б. </w:t>
      </w:r>
      <w:proofErr w:type="spellStart"/>
      <w:r w:rsidRPr="00EC640A">
        <w:rPr>
          <w:lang w:val="ru-RU"/>
        </w:rPr>
        <w:t>Авдашева</w:t>
      </w:r>
      <w:proofErr w:type="spellEnd"/>
      <w:r w:rsidRPr="00EC640A">
        <w:rPr>
          <w:lang w:val="ru-RU"/>
        </w:rPr>
        <w:t>, цифровые платформы характеризуются сильными сетевыми эффектами, когда ценность платформы для каждого участника растет по мере увеличения числа других участников. Это меняет саму структуру конкуренции: соперничают не отдельные товары или магазины, а целые экосистемы. Платформенная модель позволяет резко снизить трансакционные издержки поиска товара и заключения сделки, что делает её доминирующей формой организации рынка в цифровой экономике</w:t>
      </w:r>
      <w:r>
        <w:rPr>
          <w:vertAlign w:val="superscript"/>
        </w:rPr>
        <w:footnoteReference w:id="3"/>
      </w:r>
      <w:r w:rsidRPr="00EC640A">
        <w:rPr>
          <w:lang w:val="ru-RU"/>
        </w:rPr>
        <w:t>.</w:t>
      </w:r>
    </w:p>
    <w:p w14:paraId="5C910DCB" w14:textId="77777777" w:rsidR="005C688F" w:rsidRPr="00EC640A" w:rsidRDefault="00000000">
      <w:pPr>
        <w:rPr>
          <w:lang w:val="ru-RU"/>
        </w:rPr>
      </w:pPr>
      <w:r w:rsidRPr="00EC640A">
        <w:rPr>
          <w:lang w:val="ru-RU"/>
        </w:rPr>
        <w:t xml:space="preserve">Другим важнейшим направлением выступает внедрение искусственного интеллекта (ИИ) и машинного обучения во все звенья цепочки создания стоимости. В ритейле эти технологии применяются не только для общения с клиентами через чат-боты или генерации персональных рекомендаций, но и для оптимизации внутренних процессов. Алгоритмы компьютерного зрения позволяют контролировать выкладку товаров на полках и анализировать поведение посетителей в офлайн-точках, стирая грань между физическим и цифровым миром. Интеллектуальные системы управления запасами способны с </w:t>
      </w:r>
      <w:r w:rsidRPr="00EC640A">
        <w:rPr>
          <w:lang w:val="ru-RU"/>
        </w:rPr>
        <w:lastRenderedPageBreak/>
        <w:t>высокой точностью прогнозировать потребность в конкретных товарных позициях для каждой торговой точки, что минимизирует издержки хранения и потери от списания просроченной продукции. Таким образом, цифровая трансформация затрагивает операционную эффективность бизнеса не меньше, чем маркетинговую составляющую.</w:t>
      </w:r>
    </w:p>
    <w:p w14:paraId="43CB0C4C" w14:textId="77777777" w:rsidR="005C688F" w:rsidRPr="00EC640A" w:rsidRDefault="00000000">
      <w:pPr>
        <w:rPr>
          <w:lang w:val="ru-RU"/>
        </w:rPr>
      </w:pPr>
      <w:r w:rsidRPr="00EC640A">
        <w:rPr>
          <w:lang w:val="ru-RU"/>
        </w:rPr>
        <w:t>Особое место в структуре цифровой трансформации занимает развитие Интернета вещей (</w:t>
      </w:r>
      <w:r>
        <w:t>IoT</w:t>
      </w:r>
      <w:r w:rsidRPr="00EC640A">
        <w:rPr>
          <w:lang w:val="ru-RU"/>
        </w:rPr>
        <w:t xml:space="preserve">). Подключение физических объектов — от торгового оборудования до носимых устройств покупателей — к единой сети создает непрерывный поток данных. Умные полки, оснащенные сенсорами веса и </w:t>
      </w:r>
      <w:r>
        <w:t>RFID</w:t>
      </w:r>
      <w:r w:rsidRPr="00EC640A">
        <w:rPr>
          <w:lang w:val="ru-RU"/>
        </w:rPr>
        <w:t xml:space="preserve">-метками, позволяют в режиме реального времени отслеживать наличие товара и предотвращать ситуации </w:t>
      </w:r>
      <w:r>
        <w:t>out</w:t>
      </w:r>
      <w:r w:rsidRPr="00EC640A">
        <w:rPr>
          <w:lang w:val="ru-RU"/>
        </w:rPr>
        <w:t>-</w:t>
      </w:r>
      <w:r>
        <w:t>of</w:t>
      </w:r>
      <w:r w:rsidRPr="00EC640A">
        <w:rPr>
          <w:lang w:val="ru-RU"/>
        </w:rPr>
        <w:t>-</w:t>
      </w:r>
      <w:r>
        <w:t>stock</w:t>
      </w:r>
      <w:r w:rsidRPr="00EC640A">
        <w:rPr>
          <w:lang w:val="ru-RU"/>
        </w:rPr>
        <w:t xml:space="preserve">, которые традиционно являлись одной из главных проблем розницы. Более того, </w:t>
      </w:r>
      <w:r>
        <w:t>IoT</w:t>
      </w:r>
      <w:r w:rsidRPr="00EC640A">
        <w:rPr>
          <w:lang w:val="ru-RU"/>
        </w:rPr>
        <w:t>-технологии открывают путь к созданию полностью автоматизированных магазинов без кассиров, что кардинально меняет экономику торговой точки за счет сокращения затрат на персонал. Внедрение таких технологий требует существенных капиталовложений, однако в долгосрочной перспективе обеспечивает значительное конкурентное преимущество за счет скорости обслуживания и удобства для клиента.</w:t>
      </w:r>
    </w:p>
    <w:p w14:paraId="5FA39A7F" w14:textId="77777777" w:rsidR="005C688F" w:rsidRPr="00EC640A" w:rsidRDefault="00000000">
      <w:pPr>
        <w:rPr>
          <w:lang w:val="ru-RU"/>
        </w:rPr>
      </w:pPr>
      <w:r w:rsidRPr="00EC640A">
        <w:rPr>
          <w:lang w:val="ru-RU"/>
        </w:rPr>
        <w:t xml:space="preserve">Следует также выделить направление, связанное с трансформацией логистических процессов и так называемой «последней мили». В условиях цифровой экономики скорость доставки становится неотъемлемой частью продукта. Технологии </w:t>
      </w:r>
      <w:proofErr w:type="spellStart"/>
      <w:r w:rsidRPr="00EC640A">
        <w:rPr>
          <w:lang w:val="ru-RU"/>
        </w:rPr>
        <w:t>гиперлокальной</w:t>
      </w:r>
      <w:proofErr w:type="spellEnd"/>
      <w:r w:rsidRPr="00EC640A">
        <w:rPr>
          <w:lang w:val="ru-RU"/>
        </w:rPr>
        <w:t xml:space="preserve"> доставки, использование алгоритмов маршрутизации курьеров и роботизация складских комплексов (фулфилмент-центров) позволяют сократить время получения заказа до 15–30 минут. Это направление тесно связано с концепцией </w:t>
      </w:r>
      <w:r>
        <w:t>Q</w:t>
      </w:r>
      <w:r w:rsidRPr="00EC640A">
        <w:rPr>
          <w:lang w:val="ru-RU"/>
        </w:rPr>
        <w:t>-</w:t>
      </w:r>
      <w:r>
        <w:t>commerce</w:t>
      </w:r>
      <w:r w:rsidRPr="00EC640A">
        <w:rPr>
          <w:lang w:val="ru-RU"/>
        </w:rPr>
        <w:t xml:space="preserve"> (быстрой коммерции), которая стала возможной исключительно благодаря высокой степени цифровизации всех процессов — от приема заказа в приложении до сборки товара на складе-дарксторе. Здесь цифровая трансформация проявляется в </w:t>
      </w:r>
      <w:r w:rsidRPr="00EC640A">
        <w:rPr>
          <w:lang w:val="ru-RU"/>
        </w:rPr>
        <w:lastRenderedPageBreak/>
        <w:t xml:space="preserve">полной интеграции </w:t>
      </w:r>
      <w:r>
        <w:t>IT</w:t>
      </w:r>
      <w:r w:rsidRPr="00EC640A">
        <w:rPr>
          <w:lang w:val="ru-RU"/>
        </w:rPr>
        <w:t>-систем ритейлера с логистическими платформами, что обеспечивает прозрачность движения товара на каждом этапе.</w:t>
      </w:r>
    </w:p>
    <w:p w14:paraId="226AE0A4" w14:textId="77777777" w:rsidR="005C688F" w:rsidRPr="00EC640A" w:rsidRDefault="00000000">
      <w:pPr>
        <w:rPr>
          <w:lang w:val="ru-RU"/>
        </w:rPr>
      </w:pPr>
      <w:r w:rsidRPr="00EC640A">
        <w:rPr>
          <w:lang w:val="ru-RU"/>
        </w:rPr>
        <w:t>Важным аспектом понимания сущности происходящих изменений является нормативно-правовой и стратегический контекст. В России вектор развития отрасли был задан на государственном уровне еще несколько лет назад. В «Стратегии развития торговли в Российской Федерации на период до 2025 года» отмечалось, что развитие многоформатной торговли, включая интернет-торговлю, является приоритетной задачей. Документ подчеркивал необходимость устранения барьеров для развития электронной коммерции и стимулирования внедрения современных технологий. Ретроспективный анализ показывает, что многие положения Стратегии, касающиеся цифровизации товародвижения, были успешно реализованы и даже перевыполнены рынком к 2026 году. В частности, акцент на развитие дистанционных каналов продаж как способа повышения доступности товаров для населения оказался верным стратегическим ориентиром</w:t>
      </w:r>
      <w:r>
        <w:rPr>
          <w:vertAlign w:val="superscript"/>
        </w:rPr>
        <w:footnoteReference w:id="4"/>
      </w:r>
      <w:r w:rsidRPr="00EC640A">
        <w:rPr>
          <w:lang w:val="ru-RU"/>
        </w:rPr>
        <w:t>.</w:t>
      </w:r>
    </w:p>
    <w:p w14:paraId="7938B9A2" w14:textId="77777777" w:rsidR="005C688F" w:rsidRPr="00EC640A" w:rsidRDefault="00000000">
      <w:pPr>
        <w:rPr>
          <w:lang w:val="ru-RU"/>
        </w:rPr>
      </w:pPr>
      <w:r w:rsidRPr="00EC640A">
        <w:rPr>
          <w:lang w:val="ru-RU"/>
        </w:rPr>
        <w:t xml:space="preserve">Кроме того, цифровая трансформация подразумевает изменение подходов к управлению человеческим капиталом в ритейле. Потребность в линейном персонале (кассирах, фасовщиках) постепенно снижается или трансформируется, в то время как спрос на специалистов по работе с данными, разработчиков, аналитиков и специалистов по цифровому маркетингу резко возрастает. Торговые сети вынуждены становиться </w:t>
      </w:r>
      <w:r>
        <w:t>IT</w:t>
      </w:r>
      <w:r w:rsidRPr="00EC640A">
        <w:rPr>
          <w:lang w:val="ru-RU"/>
        </w:rPr>
        <w:t xml:space="preserve">-компаниями, конкурирующими за кадры не с другими магазинами, а с технологическими гигантами. Это направление внутренней трансформации часто остается в тени клиентских сервисов, но именно оно определяет способность компании адаптироваться к изменениям внешней среды. Без формирования цифровых компетенций внутри </w:t>
      </w:r>
      <w:r w:rsidRPr="00EC640A">
        <w:rPr>
          <w:lang w:val="ru-RU"/>
        </w:rPr>
        <w:lastRenderedPageBreak/>
        <w:t>организации внедрение любых технологий остается поверхностным и не приносит ожидаемого экономического эффекта.</w:t>
      </w:r>
    </w:p>
    <w:p w14:paraId="103675B0" w14:textId="77777777" w:rsidR="005C688F" w:rsidRPr="00EC640A" w:rsidRDefault="00000000">
      <w:pPr>
        <w:rPr>
          <w:lang w:val="ru-RU"/>
        </w:rPr>
      </w:pPr>
      <w:r w:rsidRPr="00EC640A">
        <w:rPr>
          <w:lang w:val="ru-RU"/>
        </w:rPr>
        <w:t>Нельзя обойти вниманием и этический аспект цифровой трансформации, который становится все более значимым направлением теоретических дискуссий. Сбор детальной информации о покупателях, их привычках, маршрутах передвижения и финансовом состоянии ставит вопросы о приватности и границах допустимого влияния на поведение человека. Технологии персонализации, описанные Котлером и его соавторами, могут восприниматься как удобство, но при некорректном использовании превращаются в инструмент манипуляции. Поэтому одним из направлений развития ответственного цифрового ритейла становится разработка прозрачных правил использования данных и обеспечение кибербезопасности, что является фундаментом доверия потребителей к цифровым каналам продаж.</w:t>
      </w:r>
    </w:p>
    <w:p w14:paraId="144DA1C1" w14:textId="77777777" w:rsidR="005C688F" w:rsidRPr="00EC640A" w:rsidRDefault="00000000">
      <w:pPr>
        <w:rPr>
          <w:lang w:val="ru-RU"/>
        </w:rPr>
      </w:pPr>
      <w:r w:rsidRPr="00EC640A">
        <w:rPr>
          <w:lang w:val="ru-RU"/>
        </w:rPr>
        <w:t>Синтезируя вышесказанное, можно заключить, что цифровая трансформация ритейла — это многомерный процесс. Он охватывает технологическое переоснащение (</w:t>
      </w:r>
      <w:r>
        <w:t>IoT</w:t>
      </w:r>
      <w:r w:rsidRPr="00EC640A">
        <w:rPr>
          <w:lang w:val="ru-RU"/>
        </w:rPr>
        <w:t>, робототехника), изменение бизнес-моделей (экосистемы, платформы), внедрение новых методов анализа (</w:t>
      </w:r>
      <w:r>
        <w:t>Big</w:t>
      </w:r>
      <w:r w:rsidRPr="00EC640A">
        <w:rPr>
          <w:lang w:val="ru-RU"/>
        </w:rPr>
        <w:t xml:space="preserve"> </w:t>
      </w:r>
      <w:r>
        <w:t>Data</w:t>
      </w:r>
      <w:r w:rsidRPr="00EC640A">
        <w:rPr>
          <w:lang w:val="ru-RU"/>
        </w:rPr>
        <w:t>, ИИ) и культурную перестройку организаций. Эти направления развиваются не изолированно, а в тесной взаимосвязи, усиливая друг друга. Платформы генерируют данные, данные питают алгоритмы искусственного интеллекта, а алгоритмы позволяют оптимизировать логистику и персонализировать предложение. Именно эта синергия создает новую экономическую реальность, в которой традиционные факторы успеха в торговле, такие как удачное местоположение магазина, уступают место способности компании эффективно управлять информационными потоками и интегрироваться в цифровую жизнь потребителя. Понимание этих ключевых направлений необходимо для дальнейшего анализа специфических механизмов, таких как ценообразование в онлайн-среде, которое будет рассмотрено в следующем параграфе.</w:t>
      </w:r>
    </w:p>
    <w:p w14:paraId="0143212A" w14:textId="77777777" w:rsidR="005C688F" w:rsidRPr="00EC640A" w:rsidRDefault="00000000">
      <w:pPr>
        <w:pStyle w:val="21"/>
        <w:ind w:firstLine="0"/>
        <w:rPr>
          <w:lang w:val="ru-RU"/>
        </w:rPr>
      </w:pPr>
      <w:bookmarkStart w:id="3" w:name="_Toc222574456"/>
      <w:r w:rsidRPr="00EC640A">
        <w:rPr>
          <w:rFonts w:ascii="Times New Roman" w:hAnsi="Times New Roman"/>
          <w:lang w:val="ru-RU"/>
        </w:rPr>
        <w:lastRenderedPageBreak/>
        <w:t>1.2 Механизмы и стратегии ценообразования в онлайн-среде</w:t>
      </w:r>
      <w:bookmarkEnd w:id="3"/>
    </w:p>
    <w:p w14:paraId="075BF6A4" w14:textId="77777777" w:rsidR="005C688F" w:rsidRPr="00EC640A" w:rsidRDefault="00000000">
      <w:pPr>
        <w:rPr>
          <w:lang w:val="ru-RU"/>
        </w:rPr>
      </w:pPr>
      <w:r w:rsidRPr="00EC640A">
        <w:rPr>
          <w:lang w:val="ru-RU"/>
        </w:rPr>
        <w:t>Ценообразование в условиях цифровой экономики претерпевает радикальные изменения, трансформируясь из статической бухгалтерской процедуры в динамический инструмент конкурентной борьбы. Если в традиционном ритейле цена зачастую определялась затратным методом (издержки плюс фиксированная маржа) и менялась довольно редко из-за высоких издержек на перемаркировку товаров («издержки меню»), то в онлайн-среде эти ограничения практически отсутствуют. Цифровые технологии позволяют менять ценники мгновенно и с нулевыми затратами, что открывает путь к применению сложных алгоритмических стратегий. Центральным элементом новой парадигмы становится переход от фиксированного ценообразования к динамическому, основанному на непрерывном анализе больших данных.</w:t>
      </w:r>
    </w:p>
    <w:p w14:paraId="6E11B5C3" w14:textId="77777777" w:rsidR="005C688F" w:rsidRPr="00EC640A" w:rsidRDefault="00000000">
      <w:pPr>
        <w:rPr>
          <w:lang w:val="ru-RU"/>
        </w:rPr>
      </w:pPr>
      <w:r w:rsidRPr="00EC640A">
        <w:rPr>
          <w:lang w:val="ru-RU"/>
        </w:rPr>
        <w:t>Теоретический фундамент современных стратегий ценообразования подробно рассматривается в работах Томаса Нагла. Он утверждает, что цель стратегического ценообразования — не просто покрытие расходов, а извлечение максимальной ценности, которую продукт представляет для конкретного сегмента потребителей. В онлайн-среде эта концепция получает новое дыхание благодаря возможности точного измерения готовности платить. Нагл и его соавторы выделяют важность управления восприятием ценности: в интернете, где физический контакт с товаром невозможен, цена часто выступает для покупателя ключевым индикатором качества. Поэтому стратегии, направленные исключительно на демпинг, могут оказаться разрушительными для бренда в долгосрочной перспективе, снижая воспринимаемую ценность продукта</w:t>
      </w:r>
      <w:r>
        <w:rPr>
          <w:vertAlign w:val="superscript"/>
        </w:rPr>
        <w:footnoteReference w:id="5"/>
      </w:r>
      <w:r w:rsidRPr="00EC640A">
        <w:rPr>
          <w:lang w:val="ru-RU"/>
        </w:rPr>
        <w:t>.</w:t>
      </w:r>
    </w:p>
    <w:p w14:paraId="3876EA6C" w14:textId="77777777" w:rsidR="005C688F" w:rsidRPr="00EC640A" w:rsidRDefault="00000000">
      <w:pPr>
        <w:rPr>
          <w:lang w:val="ru-RU"/>
        </w:rPr>
      </w:pPr>
      <w:r w:rsidRPr="00EC640A">
        <w:rPr>
          <w:lang w:val="ru-RU"/>
        </w:rPr>
        <w:t>Основным механизмом реализации стратегий в электронной коммерции выступает динамическое ценообразование (</w:t>
      </w:r>
      <w:r>
        <w:t>dynamic</w:t>
      </w:r>
      <w:r w:rsidRPr="00EC640A">
        <w:rPr>
          <w:lang w:val="ru-RU"/>
        </w:rPr>
        <w:t xml:space="preserve"> </w:t>
      </w:r>
      <w:r>
        <w:t>pricing</w:t>
      </w:r>
      <w:r w:rsidRPr="00EC640A">
        <w:rPr>
          <w:lang w:val="ru-RU"/>
        </w:rPr>
        <w:t xml:space="preserve">). Суть этого механизма заключается в автоматической корректировке цен в режиме реального </w:t>
      </w:r>
      <w:r w:rsidRPr="00EC640A">
        <w:rPr>
          <w:lang w:val="ru-RU"/>
        </w:rPr>
        <w:lastRenderedPageBreak/>
        <w:t>времени в зависимости от ряда переменных: текущего спроса, действий конкурентов, уровня складских запасов, времени суток и даже погодных условий. В отличие от сезонных распродаж, динамическое ценообразование работает постоянно. Алгоритмы парсинга (сбора данных) непрерывно мониторят цены на аналогичные товары на площадках конкурентов. Если конкурент снижает цену, система может автоматически отреагировать зеркальным снижением, чтобы не потерять покупателя, или, наоборот, сохранить цену, если анализ показывает, что у конкурента заканчивается товарный запас.</w:t>
      </w:r>
    </w:p>
    <w:p w14:paraId="450BF498" w14:textId="77777777" w:rsidR="005C688F" w:rsidRPr="00EC640A" w:rsidRDefault="00000000">
      <w:pPr>
        <w:rPr>
          <w:lang w:val="ru-RU"/>
        </w:rPr>
      </w:pPr>
      <w:r w:rsidRPr="00EC640A">
        <w:rPr>
          <w:lang w:val="ru-RU"/>
        </w:rPr>
        <w:t>Однако динамическое ценообразование эволюционирует в сторону еще более сложной формы — персонализированного ценообразования. В учебном пособии профессора МГУ В.В. Герасименко отмечается, что цифровая экономика создает предпосылки для идеальной ценовой дискриминации (дискриминации первой степени), когда каждому покупателю предлагается индивидуальная цена, максимально приближенная к его резервной цене (максимальной сумме, которую он готов заплатить). Платформы анализируют цифровую историю пользователя: его поисковые запросы, историю покупок, геолокацию и даже тип устройства, с которого осуществляется вход. Например, пользователям дорогих гаджетов или жителям престижных районов могут демонстрироваться более высокие цены на те же услуги или товары, так как алгоритм оценивает их платежеспособность как более высокую. Герасименко подчеркивает, что такая практика, хотя и эффективна экономически, вызывает серьезные этические вопросы и требует осторожного внедрения, чтобы не спровоцировать отток лояльной аудитории</w:t>
      </w:r>
      <w:r>
        <w:rPr>
          <w:vertAlign w:val="superscript"/>
        </w:rPr>
        <w:footnoteReference w:id="6"/>
      </w:r>
      <w:r w:rsidRPr="00EC640A">
        <w:rPr>
          <w:lang w:val="ru-RU"/>
        </w:rPr>
        <w:t>.</w:t>
      </w:r>
    </w:p>
    <w:p w14:paraId="76B3505E" w14:textId="77777777" w:rsidR="005C688F" w:rsidRPr="00EC640A" w:rsidRDefault="00000000">
      <w:pPr>
        <w:rPr>
          <w:lang w:val="ru-RU"/>
        </w:rPr>
      </w:pPr>
      <w:r w:rsidRPr="00EC640A">
        <w:rPr>
          <w:lang w:val="ru-RU"/>
        </w:rPr>
        <w:t xml:space="preserve">Важным аспектом функционирования онлайн-рынка является роль алгоритмов в поддержании рыночного равновесия. Автоматизация процессов принятия решений привела к появлению феномена, который исследователи </w:t>
      </w:r>
      <w:r w:rsidRPr="00EC640A">
        <w:rPr>
          <w:lang w:val="ru-RU"/>
        </w:rPr>
        <w:lastRenderedPageBreak/>
        <w:t>называют «алгоритмическим ценообразованием». А.Ю. Яковлева в своем исследовании указывает на новые риски для конкуренции, связанные с использованием самообучающихся алгоритмов. Проблема заключается в так называемом «молчаливом сговоре» (</w:t>
      </w:r>
      <w:r>
        <w:t>tacit</w:t>
      </w:r>
      <w:r w:rsidRPr="00EC640A">
        <w:rPr>
          <w:lang w:val="ru-RU"/>
        </w:rPr>
        <w:t xml:space="preserve"> </w:t>
      </w:r>
      <w:r>
        <w:t>collusion</w:t>
      </w:r>
      <w:r w:rsidRPr="00EC640A">
        <w:rPr>
          <w:lang w:val="ru-RU"/>
        </w:rPr>
        <w:t>). Алгоритмы разных компаний, запрограммированные на максимизацию прибыли, могут в процессе самообучения прийти к выводу, что ценовая война невыгодна никому, и начать синхронно повышать цены без какого-либо прямого соглашения между людьми-менеджерами. Это создает серьезные вызовы для антимонопольного регулирования, так как формально закон не нарушается — нет факта переговоров или картельного соглашения, но результат для потребителя оказывается негативным. Яковлева отмечает, что регуляторы пока только вырабатывают подходы к контролю таких «цифровых картелей»</w:t>
      </w:r>
      <w:r>
        <w:rPr>
          <w:vertAlign w:val="superscript"/>
        </w:rPr>
        <w:footnoteReference w:id="7"/>
      </w:r>
      <w:r w:rsidRPr="00EC640A">
        <w:rPr>
          <w:lang w:val="ru-RU"/>
        </w:rPr>
        <w:t>.</w:t>
      </w:r>
    </w:p>
    <w:p w14:paraId="581F2E97" w14:textId="77777777" w:rsidR="005C688F" w:rsidRPr="00EC640A" w:rsidRDefault="00000000">
      <w:pPr>
        <w:rPr>
          <w:lang w:val="ru-RU"/>
        </w:rPr>
      </w:pPr>
      <w:r w:rsidRPr="00EC640A">
        <w:rPr>
          <w:lang w:val="ru-RU"/>
        </w:rPr>
        <w:t>Помимо технологических аспектов, огромное значение имеют психологические механизмы восприятия цены в интерфейсе онлайн-магазина. И.В. Липсиц в своем фундаментальном учебнике подробно разбирает тактики ценообразования, влияющие на выбор потребителя. В онлайн-среде эти тактики реализуются через дизайн веб-страниц и приложений. Широко используется метод «якорения» (</w:t>
      </w:r>
      <w:r>
        <w:t>anchoring</w:t>
      </w:r>
      <w:r w:rsidRPr="00EC640A">
        <w:rPr>
          <w:lang w:val="ru-RU"/>
        </w:rPr>
        <w:t>), когда рядом с реальной ценой демонстрируется зачеркнутая высокая цена, создавая иллюзию выгодной сделки. Также распространен механизм «раздробленного ценообразования» (</w:t>
      </w:r>
      <w:r>
        <w:t>drip</w:t>
      </w:r>
      <w:r w:rsidRPr="00EC640A">
        <w:rPr>
          <w:lang w:val="ru-RU"/>
        </w:rPr>
        <w:t xml:space="preserve"> </w:t>
      </w:r>
      <w:r>
        <w:t>pricing</w:t>
      </w:r>
      <w:r w:rsidRPr="00EC640A">
        <w:rPr>
          <w:lang w:val="ru-RU"/>
        </w:rPr>
        <w:t>), когда покупателю сначала показывается базовая низкая цена, а в процессе оформления заказа добавляются обязательные платежи за доставку, сервисный сбор или упаковку. Липсиц указывает, что такие стратегии, хоть и повышают конверсию в краткосрочном периоде, могут снижать доверие к платформе. Спецификой онлайна также является использование моделей подписки (</w:t>
      </w:r>
      <w:r>
        <w:t>freemium</w:t>
      </w:r>
      <w:r w:rsidRPr="00EC640A">
        <w:rPr>
          <w:lang w:val="ru-RU"/>
        </w:rPr>
        <w:t xml:space="preserve"> или экосистемные подписки), которые меняют структуру цены: потребитель платит </w:t>
      </w:r>
      <w:r w:rsidRPr="00EC640A">
        <w:rPr>
          <w:lang w:val="ru-RU"/>
        </w:rPr>
        <w:lastRenderedPageBreak/>
        <w:t>фиксированную сумму за доступ к «особым» ценам или бесплатной доставке, что стимулирует его совершать больше покупок именно на этой площадке, чтобы «отбить» стоимость подписки</w:t>
      </w:r>
      <w:r>
        <w:rPr>
          <w:vertAlign w:val="superscript"/>
        </w:rPr>
        <w:footnoteReference w:id="8"/>
      </w:r>
      <w:r w:rsidRPr="00EC640A">
        <w:rPr>
          <w:lang w:val="ru-RU"/>
        </w:rPr>
        <w:t>.</w:t>
      </w:r>
    </w:p>
    <w:p w14:paraId="3F4B4E37" w14:textId="77777777" w:rsidR="005C688F" w:rsidRPr="00EC640A" w:rsidRDefault="00000000">
      <w:pPr>
        <w:rPr>
          <w:lang w:val="ru-RU"/>
        </w:rPr>
      </w:pPr>
      <w:r w:rsidRPr="00EC640A">
        <w:rPr>
          <w:lang w:val="ru-RU"/>
        </w:rPr>
        <w:t>Особого внимания заслуживает механизм ценообразования на маркетплейсах, где конкуренция происходит за «попадание в корзину» (</w:t>
      </w:r>
      <w:r>
        <w:t>Buy</w:t>
      </w:r>
      <w:r w:rsidRPr="00EC640A">
        <w:rPr>
          <w:lang w:val="ru-RU"/>
        </w:rPr>
        <w:t xml:space="preserve"> </w:t>
      </w:r>
      <w:r>
        <w:t>Box</w:t>
      </w:r>
      <w:r w:rsidRPr="00EC640A">
        <w:rPr>
          <w:lang w:val="ru-RU"/>
        </w:rPr>
        <w:t xml:space="preserve">). В карточке популярного товара могут присутствовать десятки продавцов, но алгоритм платформы выбирает одного, чье предложение будет показано покупателю как основное при нажатии кнопки «Купить». Выбор алгоритма базируется на сложной формуле, где цена является главным, но не единственным фактором (учитываются также скорость доставки и рейтинг продавца). Это вынуждает продавцов использовать </w:t>
      </w:r>
      <w:proofErr w:type="spellStart"/>
      <w:r w:rsidRPr="00EC640A">
        <w:rPr>
          <w:lang w:val="ru-RU"/>
        </w:rPr>
        <w:t>автобиддеры</w:t>
      </w:r>
      <w:proofErr w:type="spellEnd"/>
      <w:r w:rsidRPr="00EC640A">
        <w:rPr>
          <w:lang w:val="ru-RU"/>
        </w:rPr>
        <w:t xml:space="preserve"> — программы, которые автоматически снижают цену на минимальный шаг (например, на 1 рубль) по сравнению с конкурентом, чтобы занять заветное место в </w:t>
      </w:r>
      <w:r>
        <w:t>Buy</w:t>
      </w:r>
      <w:r w:rsidRPr="00EC640A">
        <w:rPr>
          <w:lang w:val="ru-RU"/>
        </w:rPr>
        <w:t xml:space="preserve"> </w:t>
      </w:r>
      <w:r>
        <w:t>Box</w:t>
      </w:r>
      <w:r w:rsidRPr="00EC640A">
        <w:rPr>
          <w:lang w:val="ru-RU"/>
        </w:rPr>
        <w:t>. Такая автоматическая «гонка на дно» (</w:t>
      </w:r>
      <w:r>
        <w:t>race</w:t>
      </w:r>
      <w:r w:rsidRPr="00EC640A">
        <w:rPr>
          <w:lang w:val="ru-RU"/>
        </w:rPr>
        <w:t xml:space="preserve"> </w:t>
      </w:r>
      <w:r>
        <w:t>to</w:t>
      </w:r>
      <w:r w:rsidRPr="00EC640A">
        <w:rPr>
          <w:lang w:val="ru-RU"/>
        </w:rPr>
        <w:t xml:space="preserve"> </w:t>
      </w:r>
      <w:r>
        <w:t>the</w:t>
      </w:r>
      <w:r w:rsidRPr="00EC640A">
        <w:rPr>
          <w:lang w:val="ru-RU"/>
        </w:rPr>
        <w:t xml:space="preserve"> </w:t>
      </w:r>
      <w:r>
        <w:t>bottom</w:t>
      </w:r>
      <w:r w:rsidRPr="00EC640A">
        <w:rPr>
          <w:lang w:val="ru-RU"/>
        </w:rPr>
        <w:t xml:space="preserve">) выгодна потребителю, но существенно снижает маржинальность бизнеса селлеров, заставляя их искать другие способы конкуренции, например, через </w:t>
      </w:r>
      <w:proofErr w:type="spellStart"/>
      <w:r w:rsidRPr="00EC640A">
        <w:rPr>
          <w:lang w:val="ru-RU"/>
        </w:rPr>
        <w:t>бандлинг</w:t>
      </w:r>
      <w:proofErr w:type="spellEnd"/>
      <w:r w:rsidRPr="00EC640A">
        <w:rPr>
          <w:lang w:val="ru-RU"/>
        </w:rPr>
        <w:t xml:space="preserve"> (продажу наборов) или </w:t>
      </w:r>
      <w:proofErr w:type="spellStart"/>
      <w:r w:rsidRPr="00EC640A">
        <w:rPr>
          <w:lang w:val="ru-RU"/>
        </w:rPr>
        <w:t>уникализацию</w:t>
      </w:r>
      <w:proofErr w:type="spellEnd"/>
      <w:r w:rsidRPr="00EC640A">
        <w:rPr>
          <w:lang w:val="ru-RU"/>
        </w:rPr>
        <w:t xml:space="preserve"> товарного предложения.</w:t>
      </w:r>
    </w:p>
    <w:p w14:paraId="47047B62" w14:textId="77777777" w:rsidR="005C688F" w:rsidRPr="00EC640A" w:rsidRDefault="00000000">
      <w:pPr>
        <w:rPr>
          <w:lang w:val="ru-RU"/>
        </w:rPr>
      </w:pPr>
      <w:r w:rsidRPr="00EC640A">
        <w:rPr>
          <w:lang w:val="ru-RU"/>
        </w:rPr>
        <w:t xml:space="preserve">Кроме того, в онлайн-среде активно развиваются модели ценообразования </w:t>
      </w:r>
      <w:r>
        <w:t>C</w:t>
      </w:r>
      <w:r w:rsidRPr="00EC640A">
        <w:rPr>
          <w:lang w:val="ru-RU"/>
        </w:rPr>
        <w:t>2</w:t>
      </w:r>
      <w:r>
        <w:t>B</w:t>
      </w:r>
      <w:r w:rsidRPr="00EC640A">
        <w:rPr>
          <w:lang w:val="ru-RU"/>
        </w:rPr>
        <w:t xml:space="preserve"> (</w:t>
      </w:r>
      <w:r>
        <w:t>consumer</w:t>
      </w:r>
      <w:r w:rsidRPr="00EC640A">
        <w:rPr>
          <w:lang w:val="ru-RU"/>
        </w:rPr>
        <w:t>-</w:t>
      </w:r>
      <w:r>
        <w:t>to</w:t>
      </w:r>
      <w:r w:rsidRPr="00EC640A">
        <w:rPr>
          <w:lang w:val="ru-RU"/>
        </w:rPr>
        <w:t>-</w:t>
      </w:r>
      <w:r>
        <w:t>business</w:t>
      </w:r>
      <w:r w:rsidRPr="00EC640A">
        <w:rPr>
          <w:lang w:val="ru-RU"/>
        </w:rPr>
        <w:t>), где потребитель сам предлагает цену, а продавцы соглашаются или нет (модель аукциона). Хотя в чистом ритейле это встречается реже, элементы такого подхода проникают через сервисы совместных покупок или платформы, где цена снижается по мере набора определенного количества заказов. Это демонстрирует сдвиг рыночной власти в сторону потребителя, который, вооружившись инструментами сравнения цен (агрегаторами), становится более чувствительным к ценовым колебаниям.</w:t>
      </w:r>
    </w:p>
    <w:p w14:paraId="11FE2B8E" w14:textId="77777777" w:rsidR="005C688F" w:rsidRPr="00EC640A" w:rsidRDefault="00000000">
      <w:pPr>
        <w:rPr>
          <w:lang w:val="ru-RU"/>
        </w:rPr>
      </w:pPr>
      <w:r w:rsidRPr="00EC640A">
        <w:rPr>
          <w:lang w:val="ru-RU"/>
        </w:rPr>
        <w:lastRenderedPageBreak/>
        <w:t>Нельзя не отметить и влияние кросс-канального взаимодействия на стратегии ценообразования. Ритейлеры, присутствующие и в офлайне, и в онлайне, сталкиваются с дилеммой: устанавливать единые цены во всех каналах или дифференцировать их. Стратегия единых цен упрощает коммуникацию и поддерживает доверие, однако онлайн-канал часто имеет более низкую структуру издержек (отсутствие аренды торговых залов), что позволяет устанавливать более низкие цены. Многие компании решают эту проблему через программы лояльности: базовые цены могут быть одинаковыми, но персонализированные промокоды и бонусы, доступные в мобильном приложении, делают фактическую цену покупки в онлайне более привлекательной, стимулируя переток клиентов в цифровые каналы.</w:t>
      </w:r>
    </w:p>
    <w:p w14:paraId="5ED9AEF7" w14:textId="77777777" w:rsidR="005C688F" w:rsidRPr="00EC640A" w:rsidRDefault="00000000">
      <w:pPr>
        <w:rPr>
          <w:lang w:val="ru-RU"/>
        </w:rPr>
      </w:pPr>
      <w:r w:rsidRPr="00EC640A">
        <w:rPr>
          <w:lang w:val="ru-RU"/>
        </w:rPr>
        <w:t>Таким образом, механизмы ценообразования в онлайн-среде представляют собой сложный синтез алгоритмических вычислений, поведенческой психологии и стратегического маркетинга. Переход к цифровым технологиям не просто ускорил процесс смены ценников, но изменил саму логику формирования цены. Она перестала быть статичным атрибутом товара и превратилась в функцию от множества переменных, характеризующих конкретный момент времени и конкретного покупателя. Использование искусственного интеллекта и больших данных позволяет компаниям балансировать между максимизацией прибыли и удержанием доли рынка с точностью, недоступной в эпоху традиционной торговли. Однако, как показывают исследования Яковлевой и Герасименко, этот прогресс несет в себе и новые риски — от этических проблем дискриминации до макроэкономических угроз алгоритмического сговора, что требует постоянного внимания как со стороны менеджмента компаний, так и со стороны государственных регуляторов. Понимание этих механизмов критически важно для анализа потребительского поведения, которое адаптируется к новым правилам игры, о чем пойдет речь в следующем параграфе.</w:t>
      </w:r>
    </w:p>
    <w:p w14:paraId="601A2567" w14:textId="77777777" w:rsidR="005C688F" w:rsidRPr="00EC640A" w:rsidRDefault="00000000">
      <w:pPr>
        <w:pStyle w:val="21"/>
        <w:ind w:firstLine="0"/>
        <w:rPr>
          <w:lang w:val="ru-RU"/>
        </w:rPr>
      </w:pPr>
      <w:bookmarkStart w:id="4" w:name="_Toc222574457"/>
      <w:r w:rsidRPr="00EC640A">
        <w:rPr>
          <w:rFonts w:ascii="Times New Roman" w:hAnsi="Times New Roman"/>
          <w:lang w:val="ru-RU"/>
        </w:rPr>
        <w:lastRenderedPageBreak/>
        <w:t xml:space="preserve">1.3 Модели потребительского поведения в условиях </w:t>
      </w:r>
      <w:proofErr w:type="spellStart"/>
      <w:r w:rsidRPr="00EC640A">
        <w:rPr>
          <w:rFonts w:ascii="Times New Roman" w:hAnsi="Times New Roman"/>
          <w:lang w:val="ru-RU"/>
        </w:rPr>
        <w:t>омниканальности</w:t>
      </w:r>
      <w:bookmarkEnd w:id="4"/>
      <w:proofErr w:type="spellEnd"/>
    </w:p>
    <w:p w14:paraId="6619BAEE" w14:textId="77777777" w:rsidR="005C688F" w:rsidRPr="00EC640A" w:rsidRDefault="00000000">
      <w:pPr>
        <w:rPr>
          <w:lang w:val="ru-RU"/>
        </w:rPr>
      </w:pPr>
      <w:r w:rsidRPr="00EC640A">
        <w:rPr>
          <w:lang w:val="ru-RU"/>
        </w:rPr>
        <w:t>В условиях цифровой экономики происходит фундаментальная трансформация потребительского поведения, обусловленная стиранием границ между физическим и виртуальным миром. Если ранее взаимодействие покупателя и продавца строилось линейно, через один или несколько изолированных каналов (</w:t>
      </w:r>
      <w:proofErr w:type="spellStart"/>
      <w:r w:rsidRPr="00EC640A">
        <w:rPr>
          <w:lang w:val="ru-RU"/>
        </w:rPr>
        <w:t>мультиканальность</w:t>
      </w:r>
      <w:proofErr w:type="spellEnd"/>
      <w:r w:rsidRPr="00EC640A">
        <w:rPr>
          <w:lang w:val="ru-RU"/>
        </w:rPr>
        <w:t xml:space="preserve">), то сегодня нормой становится </w:t>
      </w:r>
      <w:proofErr w:type="spellStart"/>
      <w:r w:rsidRPr="00EC640A">
        <w:rPr>
          <w:lang w:val="ru-RU"/>
        </w:rPr>
        <w:t>омниканальность</w:t>
      </w:r>
      <w:proofErr w:type="spellEnd"/>
      <w:r w:rsidRPr="00EC640A">
        <w:rPr>
          <w:lang w:val="ru-RU"/>
        </w:rPr>
        <w:t xml:space="preserve"> — бесшовная интеграция всех точек контакта в единую экосистему. Потребитель больше не мыслит категориями каналов («купить в интернете» или «купить в магазине»), он взаимодействует с брендом, свободно переключаясь между смартфоном, десктопом и физической торговой точкой в рамках одной транзакции. Этот сдвиг привел к формированию новых, нелинейных моделей поведения, анализ которых требует привлечения инструментария не только экономической теории, но и поведенческой психологии.</w:t>
      </w:r>
    </w:p>
    <w:p w14:paraId="0425267D" w14:textId="77777777" w:rsidR="005C688F" w:rsidRPr="00EC640A" w:rsidRDefault="00000000">
      <w:pPr>
        <w:rPr>
          <w:lang w:val="ru-RU"/>
        </w:rPr>
      </w:pPr>
      <w:r w:rsidRPr="00EC640A">
        <w:rPr>
          <w:lang w:val="ru-RU"/>
        </w:rPr>
        <w:t xml:space="preserve">Центральной проблемой понимания современного потребителя является парадокс выбора. В цифровой среде ассортимент практически безграничен, что, согласно классической экономической теории, должно повышать полезность для покупателя. Однако на практике переизбыток информации создает высокую когнитивную нагрузку. Нобелевский лауреат Даниэль </w:t>
      </w:r>
      <w:proofErr w:type="spellStart"/>
      <w:r w:rsidRPr="00EC640A">
        <w:rPr>
          <w:lang w:val="ru-RU"/>
        </w:rPr>
        <w:t>Канеман</w:t>
      </w:r>
      <w:proofErr w:type="spellEnd"/>
      <w:r w:rsidRPr="00EC640A">
        <w:rPr>
          <w:lang w:val="ru-RU"/>
        </w:rPr>
        <w:t xml:space="preserve"> в своей фундаментальной работе описывает два режима мышления: Систему 1 (быстрое, интуитивное, эмоциональное) и Систему 2 (медленное, логическое, затратное). Омниканальная среда создает уникальные условия, в которых ритейлеры стремятся эксплуатировать оба режима. Интерфейсы мобильных приложений, механизмы «покупки в один клик» и персонализированные </w:t>
      </w:r>
      <w:r>
        <w:t>push</w:t>
      </w:r>
      <w:r w:rsidRPr="00EC640A">
        <w:rPr>
          <w:lang w:val="ru-RU"/>
        </w:rPr>
        <w:t xml:space="preserve">-уведомления апеллируют к Системе 1, стимулируя импульсивные покупки и снижая барьер принятия решения. В то же время, наличие подробных характеристик, сравнений и отзывов активирует Систему 2, заставляя потребителя проводить глубокий анализ перед покупкой дорогостоящих товаров. </w:t>
      </w:r>
      <w:proofErr w:type="spellStart"/>
      <w:r w:rsidRPr="00EC640A">
        <w:rPr>
          <w:lang w:val="ru-RU"/>
        </w:rPr>
        <w:t>Канеман</w:t>
      </w:r>
      <w:proofErr w:type="spellEnd"/>
      <w:r w:rsidRPr="00EC640A">
        <w:rPr>
          <w:lang w:val="ru-RU"/>
        </w:rPr>
        <w:t xml:space="preserve"> отмечает, что мозг </w:t>
      </w:r>
      <w:r w:rsidRPr="00EC640A">
        <w:rPr>
          <w:lang w:val="ru-RU"/>
        </w:rPr>
        <w:lastRenderedPageBreak/>
        <w:t>стремится к когнитивной легкости, поэтому в условиях информационной перегрузки потребитель склонен полагаться на эвристики — упрощенные правила принятия решений, такие как доверие бренду или ориентация на рейтинг товара («социальное доказательство»), вместо детального анализа свойств продукта</w:t>
      </w:r>
      <w:r>
        <w:rPr>
          <w:vertAlign w:val="superscript"/>
        </w:rPr>
        <w:footnoteReference w:id="9"/>
      </w:r>
      <w:r w:rsidRPr="00EC640A">
        <w:rPr>
          <w:lang w:val="ru-RU"/>
        </w:rPr>
        <w:t>.</w:t>
      </w:r>
    </w:p>
    <w:p w14:paraId="20423DB6" w14:textId="77777777" w:rsidR="005C688F" w:rsidRPr="00EC640A" w:rsidRDefault="00000000">
      <w:pPr>
        <w:rPr>
          <w:lang w:val="ru-RU"/>
        </w:rPr>
      </w:pPr>
      <w:r w:rsidRPr="00EC640A">
        <w:rPr>
          <w:lang w:val="ru-RU"/>
        </w:rPr>
        <w:t xml:space="preserve">Одним из наиболее распространенных паттернов поведения в омниканальной среде является модель </w:t>
      </w:r>
      <w:r>
        <w:t>ROPO</w:t>
      </w:r>
      <w:r w:rsidRPr="00EC640A">
        <w:rPr>
          <w:lang w:val="ru-RU"/>
        </w:rPr>
        <w:t xml:space="preserve"> (</w:t>
      </w:r>
      <w:r>
        <w:t>Research</w:t>
      </w:r>
      <w:r w:rsidRPr="00EC640A">
        <w:rPr>
          <w:lang w:val="ru-RU"/>
        </w:rPr>
        <w:t xml:space="preserve"> </w:t>
      </w:r>
      <w:r>
        <w:t>Online</w:t>
      </w:r>
      <w:r w:rsidRPr="00EC640A">
        <w:rPr>
          <w:lang w:val="ru-RU"/>
        </w:rPr>
        <w:t xml:space="preserve">, </w:t>
      </w:r>
      <w:r>
        <w:t>Purchase</w:t>
      </w:r>
      <w:r w:rsidRPr="00EC640A">
        <w:rPr>
          <w:lang w:val="ru-RU"/>
        </w:rPr>
        <w:t xml:space="preserve"> </w:t>
      </w:r>
      <w:r>
        <w:t>Offline</w:t>
      </w:r>
      <w:r w:rsidRPr="00EC640A">
        <w:rPr>
          <w:lang w:val="ru-RU"/>
        </w:rPr>
        <w:t xml:space="preserve"> — «ищи онлайн, покупай офлайн»). Покупатели используют цифровые каналы для сбора информации, сравнения цен и чтения отзывов, но саму сделку предпочитают совершать в физическом магазине. Это поведение часто продиктовано стремлением снизить риски, связанные с невозможностью тактильного контакта с товаром, а также желанием получить товар немедленно, избегая ожидания доставки. Зеркальным отражением этой модели является «</w:t>
      </w:r>
      <w:proofErr w:type="spellStart"/>
      <w:r w:rsidRPr="00EC640A">
        <w:rPr>
          <w:lang w:val="ru-RU"/>
        </w:rPr>
        <w:t>шоуруминг</w:t>
      </w:r>
      <w:proofErr w:type="spellEnd"/>
      <w:r w:rsidRPr="00EC640A">
        <w:rPr>
          <w:lang w:val="ru-RU"/>
        </w:rPr>
        <w:t>» (</w:t>
      </w:r>
      <w:r>
        <w:t>Showrooming</w:t>
      </w:r>
      <w:r w:rsidRPr="00EC640A">
        <w:rPr>
          <w:lang w:val="ru-RU"/>
        </w:rPr>
        <w:t>), когда потребитель посещает магазин для ознакомления с товаром, но заказ оформляет онлайн, часто находясь прямо в торговом зале, если находит более выгодное ценовое предложение. Эти гибридные модели поведения разрушают традиционную воронку продаж, превращая ее в сложный путь клиента (</w:t>
      </w:r>
      <w:r>
        <w:t>Customer</w:t>
      </w:r>
      <w:r w:rsidRPr="00EC640A">
        <w:rPr>
          <w:lang w:val="ru-RU"/>
        </w:rPr>
        <w:t xml:space="preserve"> </w:t>
      </w:r>
      <w:r>
        <w:t>Journey</w:t>
      </w:r>
      <w:r w:rsidRPr="00EC640A">
        <w:rPr>
          <w:lang w:val="ru-RU"/>
        </w:rPr>
        <w:t xml:space="preserve"> </w:t>
      </w:r>
      <w:r>
        <w:t>Map</w:t>
      </w:r>
      <w:r w:rsidRPr="00EC640A">
        <w:rPr>
          <w:lang w:val="ru-RU"/>
        </w:rPr>
        <w:t>), где точки входа и выхода могут быть разнесены во времени и пространстве.</w:t>
      </w:r>
    </w:p>
    <w:p w14:paraId="284640B7" w14:textId="77777777" w:rsidR="005C688F" w:rsidRPr="00EC640A" w:rsidRDefault="00000000">
      <w:pPr>
        <w:rPr>
          <w:lang w:val="ru-RU"/>
        </w:rPr>
      </w:pPr>
      <w:r w:rsidRPr="00EC640A">
        <w:rPr>
          <w:lang w:val="ru-RU"/>
        </w:rPr>
        <w:t>Важный вклад в понимание иррациональности потребительского выбора в цифровой среде внес Ричард Талер, один из основоположников поведенческой экономики. В своей книге он подробно рассматривает концепцию «ментального учета» (</w:t>
      </w:r>
      <w:r>
        <w:t>mental</w:t>
      </w:r>
      <w:r w:rsidRPr="00EC640A">
        <w:rPr>
          <w:lang w:val="ru-RU"/>
        </w:rPr>
        <w:t xml:space="preserve"> </w:t>
      </w:r>
      <w:r>
        <w:t>accounting</w:t>
      </w:r>
      <w:r w:rsidRPr="00EC640A">
        <w:rPr>
          <w:lang w:val="ru-RU"/>
        </w:rPr>
        <w:t xml:space="preserve">), которая объясняет, почему люди по-разному относятся к деньгам в зависимости от их происхождения или назначения. В контексте электронной коммерции это ярко проявляется в отношении к стоимости доставки. Талер показывает, что потребители часто отказываются от </w:t>
      </w:r>
      <w:r w:rsidRPr="00EC640A">
        <w:rPr>
          <w:lang w:val="ru-RU"/>
        </w:rPr>
        <w:lastRenderedPageBreak/>
        <w:t>покупки товара за 1000 рублей, если доставка стоит 200 рублей, но с радостью покупают тот же товар за 1200 рублей с «бесплатной» доставкой. Для омниканального ритейлера это означает необходимость маскировки транзакционных издержек. Кроме того, Талер описывает эффект владения и неприятие потерь, которые в цифровой среде трансформируются в стратегии «попробуй перед покупкой» (</w:t>
      </w:r>
      <w:r>
        <w:t>try</w:t>
      </w:r>
      <w:r w:rsidRPr="00EC640A">
        <w:rPr>
          <w:lang w:val="ru-RU"/>
        </w:rPr>
        <w:t>-</w:t>
      </w:r>
      <w:r>
        <w:t>before</w:t>
      </w:r>
      <w:r w:rsidRPr="00EC640A">
        <w:rPr>
          <w:lang w:val="ru-RU"/>
        </w:rPr>
        <w:t>-</w:t>
      </w:r>
      <w:r>
        <w:t>you</w:t>
      </w:r>
      <w:r w:rsidRPr="00EC640A">
        <w:rPr>
          <w:lang w:val="ru-RU"/>
        </w:rPr>
        <w:t>-</w:t>
      </w:r>
      <w:r>
        <w:t>buy</w:t>
      </w:r>
      <w:r w:rsidRPr="00EC640A">
        <w:rPr>
          <w:lang w:val="ru-RU"/>
        </w:rPr>
        <w:t>) или гибкие условия возврата. Возможность легко вернуть товар снижает воспринимаемый риск дистанционной покупки, подталкивая клиента к заказу большего количества позиций, чем он планирует оставить</w:t>
      </w:r>
      <w:r>
        <w:rPr>
          <w:vertAlign w:val="superscript"/>
        </w:rPr>
        <w:footnoteReference w:id="10"/>
      </w:r>
      <w:r w:rsidRPr="00EC640A">
        <w:rPr>
          <w:lang w:val="ru-RU"/>
        </w:rPr>
        <w:t>.</w:t>
      </w:r>
    </w:p>
    <w:p w14:paraId="2A2D7EE7" w14:textId="77777777" w:rsidR="005C688F" w:rsidRPr="00EC640A" w:rsidRDefault="00000000">
      <w:pPr>
        <w:rPr>
          <w:lang w:val="ru-RU"/>
        </w:rPr>
      </w:pPr>
      <w:r w:rsidRPr="00EC640A">
        <w:rPr>
          <w:lang w:val="ru-RU"/>
        </w:rPr>
        <w:t>Влияние цифровизации на потребительское поведение также проявляется в изменении роли социального влияния и доверия. А.А. Халилова в своем исследовании 2024 года подчеркивает, что современный потребитель при принятии решений все меньше ориентируется на прямую рекламу бренда и все больше — на опыт других пользователей (</w:t>
      </w:r>
      <w:r>
        <w:t>User</w:t>
      </w:r>
      <w:r w:rsidRPr="00EC640A">
        <w:rPr>
          <w:lang w:val="ru-RU"/>
        </w:rPr>
        <w:t xml:space="preserve"> </w:t>
      </w:r>
      <w:r>
        <w:t>Generated</w:t>
      </w:r>
      <w:r w:rsidRPr="00EC640A">
        <w:rPr>
          <w:lang w:val="ru-RU"/>
        </w:rPr>
        <w:t xml:space="preserve"> </w:t>
      </w:r>
      <w:r>
        <w:t>Content</w:t>
      </w:r>
      <w:r w:rsidRPr="00EC640A">
        <w:rPr>
          <w:lang w:val="ru-RU"/>
        </w:rPr>
        <w:t>). Отзывы, видеообзоры, распаковки и комментарии в социальных сетях становятся определяющим фактором выбора. Феномен социального доказательства в цифровой среде приобретает промышленные масштабы: алгоритмы маркетплейсов ранжируют товары не только по цене, но и по количеству и качеству отзывов, создавая замкнутый круг, где популярные товары становятся еще популярнее. Халилова также отмечает рост значимости персонализации: потребители готовы делиться своими персональными данными в обмен на релевантные предложения и экономию времени. Формируется так называемая «экономика удобства», где лояльность определяется не эмоциональной привязанностью к бренду, а качеством пользовательского опыта (</w:t>
      </w:r>
      <w:r>
        <w:t>UX</w:t>
      </w:r>
      <w:r w:rsidRPr="00EC640A">
        <w:rPr>
          <w:lang w:val="ru-RU"/>
        </w:rPr>
        <w:t>) и скоростью сервиса</w:t>
      </w:r>
      <w:r>
        <w:rPr>
          <w:vertAlign w:val="superscript"/>
        </w:rPr>
        <w:footnoteReference w:id="11"/>
      </w:r>
      <w:r w:rsidRPr="00EC640A">
        <w:rPr>
          <w:lang w:val="ru-RU"/>
        </w:rPr>
        <w:t>.</w:t>
      </w:r>
    </w:p>
    <w:p w14:paraId="2E6A3644" w14:textId="77777777" w:rsidR="005C688F" w:rsidRPr="00EC640A" w:rsidRDefault="00000000">
      <w:pPr>
        <w:rPr>
          <w:lang w:val="ru-RU"/>
        </w:rPr>
      </w:pPr>
      <w:r w:rsidRPr="00EC640A">
        <w:rPr>
          <w:lang w:val="ru-RU"/>
        </w:rPr>
        <w:lastRenderedPageBreak/>
        <w:t xml:space="preserve">Специфической чертой омниканального поведения является эффект «бесшовности» и ожидания немедленного удовлетворения потребностей. Мобильные устройства стали своего рода «пультом управления» шопингом. Находясь в магазине, покупатель сканирует штрих-коды для проверки наличия размеров или поиска более низкой цены на маркетплейсе. Это явление заставляет традиционных ритейлеров внедрять технологии, удерживающие клиента внутри их собственной экосистемы, например, через мобильные приложения с программой лояльности, которые активируются при входе в магазин. Встраивание финансовых инструментов (рассрочки, </w:t>
      </w:r>
      <w:r>
        <w:t>BNPL</w:t>
      </w:r>
      <w:r w:rsidRPr="00EC640A">
        <w:rPr>
          <w:lang w:val="ru-RU"/>
        </w:rPr>
        <w:t xml:space="preserve">-сервисы — </w:t>
      </w:r>
      <w:r>
        <w:t>Buy</w:t>
      </w:r>
      <w:r w:rsidRPr="00EC640A">
        <w:rPr>
          <w:lang w:val="ru-RU"/>
        </w:rPr>
        <w:t xml:space="preserve"> </w:t>
      </w:r>
      <w:r>
        <w:t>Now</w:t>
      </w:r>
      <w:r w:rsidRPr="00EC640A">
        <w:rPr>
          <w:lang w:val="ru-RU"/>
        </w:rPr>
        <w:t xml:space="preserve">, </w:t>
      </w:r>
      <w:r>
        <w:t>Pay</w:t>
      </w:r>
      <w:r w:rsidRPr="00EC640A">
        <w:rPr>
          <w:lang w:val="ru-RU"/>
        </w:rPr>
        <w:t xml:space="preserve"> </w:t>
      </w:r>
      <w:r>
        <w:t>Later</w:t>
      </w:r>
      <w:r w:rsidRPr="00EC640A">
        <w:rPr>
          <w:lang w:val="ru-RU"/>
        </w:rPr>
        <w:t>) непосредственно в процесс оформления заказа также меняет модель потребления, снижая болевой порог расставания с деньгами и стимулируя увеличение среднего чека.</w:t>
      </w:r>
    </w:p>
    <w:p w14:paraId="3BB09A15" w14:textId="77777777" w:rsidR="005C688F" w:rsidRPr="00EC640A" w:rsidRDefault="00000000">
      <w:pPr>
        <w:rPr>
          <w:lang w:val="ru-RU"/>
        </w:rPr>
      </w:pPr>
      <w:r w:rsidRPr="00EC640A">
        <w:rPr>
          <w:lang w:val="ru-RU"/>
        </w:rPr>
        <w:t xml:space="preserve">Еще одним важным аспектом является формирование экосистемных привычек. Крупные игроки рынка (в российских реалиях — Сбер, Яндекс, </w:t>
      </w:r>
      <w:r>
        <w:t>Ozon</w:t>
      </w:r>
      <w:r w:rsidRPr="00EC640A">
        <w:rPr>
          <w:lang w:val="ru-RU"/>
        </w:rPr>
        <w:t xml:space="preserve">) стремятся «замкнуть» потребителя в своем контуре через подписочные модели. Подписка (например, Яндекс Плюс или </w:t>
      </w:r>
      <w:proofErr w:type="spellStart"/>
      <w:r w:rsidRPr="00EC640A">
        <w:rPr>
          <w:lang w:val="ru-RU"/>
        </w:rPr>
        <w:t>СберПрайм</w:t>
      </w:r>
      <w:proofErr w:type="spellEnd"/>
      <w:r w:rsidRPr="00EC640A">
        <w:rPr>
          <w:lang w:val="ru-RU"/>
        </w:rPr>
        <w:t xml:space="preserve">) меняет экономическую логику поведения клиента: заплатив фиксированную сумму за доступ к привилегиям (бесплатная доставка, </w:t>
      </w:r>
      <w:proofErr w:type="spellStart"/>
      <w:r w:rsidRPr="00EC640A">
        <w:rPr>
          <w:lang w:val="ru-RU"/>
        </w:rPr>
        <w:t>кэшбэк</w:t>
      </w:r>
      <w:proofErr w:type="spellEnd"/>
      <w:r w:rsidRPr="00EC640A">
        <w:rPr>
          <w:lang w:val="ru-RU"/>
        </w:rPr>
        <w:t>, контент), потребитель начинает совершать покупки преимущественно внутри этой экосистемы, чтобы «окупить» вложения. Это создает эффект колеи (</w:t>
      </w:r>
      <w:r>
        <w:t>path</w:t>
      </w:r>
      <w:r w:rsidRPr="00EC640A">
        <w:rPr>
          <w:lang w:val="ru-RU"/>
        </w:rPr>
        <w:t xml:space="preserve"> </w:t>
      </w:r>
      <w:r>
        <w:t>dependence</w:t>
      </w:r>
      <w:r w:rsidRPr="00EC640A">
        <w:rPr>
          <w:lang w:val="ru-RU"/>
        </w:rPr>
        <w:t xml:space="preserve">), когда переключение на альтернативного поставщика становится психологически и экономически некомфортным, даже если цены у конкурентов ситуативно ниже. </w:t>
      </w:r>
      <w:proofErr w:type="spellStart"/>
      <w:r w:rsidRPr="00EC640A">
        <w:rPr>
          <w:lang w:val="ru-RU"/>
        </w:rPr>
        <w:t>Экосистемность</w:t>
      </w:r>
      <w:proofErr w:type="spellEnd"/>
      <w:r w:rsidRPr="00EC640A">
        <w:rPr>
          <w:lang w:val="ru-RU"/>
        </w:rPr>
        <w:t xml:space="preserve"> формирует новый тип лояльности — инерционную, основанную на удобстве единого </w:t>
      </w:r>
      <w:r>
        <w:t>ID</w:t>
      </w:r>
      <w:r w:rsidRPr="00EC640A">
        <w:rPr>
          <w:lang w:val="ru-RU"/>
        </w:rPr>
        <w:t xml:space="preserve"> и интегрированных платежных решений.</w:t>
      </w:r>
    </w:p>
    <w:p w14:paraId="0113E722" w14:textId="77777777" w:rsidR="005C688F" w:rsidRPr="00EC640A" w:rsidRDefault="00000000">
      <w:pPr>
        <w:rPr>
          <w:lang w:val="ru-RU"/>
        </w:rPr>
      </w:pPr>
      <w:r w:rsidRPr="00EC640A">
        <w:rPr>
          <w:lang w:val="ru-RU"/>
        </w:rPr>
        <w:t xml:space="preserve">Нельзя игнорировать и феномен «геймификации» потребления. Внедрение игровых механик в программы лояльности и интерфейсы приложений (накопление баллов, уровни, достижения, виртуальные валюты) эксплуатирует дофаминергическую систему мозга. Это превращает рутинный процесс покупок </w:t>
      </w:r>
      <w:r w:rsidRPr="00EC640A">
        <w:rPr>
          <w:lang w:val="ru-RU"/>
        </w:rPr>
        <w:lastRenderedPageBreak/>
        <w:t xml:space="preserve">в развлечение, увеличивая частоту контактов с платформой и время, проведенное в приложении (метрика </w:t>
      </w:r>
      <w:r>
        <w:t>Time</w:t>
      </w:r>
      <w:r w:rsidRPr="00EC640A">
        <w:rPr>
          <w:lang w:val="ru-RU"/>
        </w:rPr>
        <w:t xml:space="preserve"> </w:t>
      </w:r>
      <w:r>
        <w:t>Spent</w:t>
      </w:r>
      <w:r w:rsidRPr="00EC640A">
        <w:rPr>
          <w:lang w:val="ru-RU"/>
        </w:rPr>
        <w:t>). Подобные механики особенно эффективны для взаимодействия с молодым поколением потребителей, для которых граница между развлечением и потреблением практически отсутствует. Ритейлеры намеренно конструируют среду выбора таким образом, чтобы стимулировать определенные действия, используя архитектуру выбора, описанную Талером как «</w:t>
      </w:r>
      <w:proofErr w:type="spellStart"/>
      <w:r w:rsidRPr="00EC640A">
        <w:rPr>
          <w:lang w:val="ru-RU"/>
        </w:rPr>
        <w:t>наджинг</w:t>
      </w:r>
      <w:proofErr w:type="spellEnd"/>
      <w:r w:rsidRPr="00EC640A">
        <w:rPr>
          <w:lang w:val="ru-RU"/>
        </w:rPr>
        <w:t>» (подталкивание). Например, товары с высокой маржинальностью помечаются значками «Хит продаж» или «Выбор покупателей», что направляет внимание пользователя в нужное русло.</w:t>
      </w:r>
    </w:p>
    <w:p w14:paraId="7396AC1C" w14:textId="77777777" w:rsidR="005C688F" w:rsidRPr="00EC640A" w:rsidRDefault="00000000">
      <w:pPr>
        <w:rPr>
          <w:lang w:val="ru-RU"/>
        </w:rPr>
      </w:pPr>
      <w:r w:rsidRPr="00EC640A">
        <w:rPr>
          <w:lang w:val="ru-RU"/>
        </w:rPr>
        <w:t xml:space="preserve">Таким образом, современные модели потребительского поведения в условиях </w:t>
      </w:r>
      <w:proofErr w:type="spellStart"/>
      <w:r w:rsidRPr="00EC640A">
        <w:rPr>
          <w:lang w:val="ru-RU"/>
        </w:rPr>
        <w:t>омниканальности</w:t>
      </w:r>
      <w:proofErr w:type="spellEnd"/>
      <w:r w:rsidRPr="00EC640A">
        <w:rPr>
          <w:lang w:val="ru-RU"/>
        </w:rPr>
        <w:t xml:space="preserve"> характеризуются высокой степенью гибридности и адаптивности. Потребитель 2026 года — это рациональный исследователь, вооруженный смартфонами и алгоритмами сравнения цен, но в то же время — это эмоциональный субъект, подверженный влиянию когнитивных искажений и манипулятивных интерфейсов. Поведение покупателя больше не является линейной последовательностью этапов, а представляет собой сложную траекторию, проходящую через множество цифровых и физических точек контакта. Понимание этих психологических и поведенческих </w:t>
      </w:r>
      <w:proofErr w:type="gramStart"/>
      <w:r w:rsidRPr="00EC640A">
        <w:rPr>
          <w:lang w:val="ru-RU"/>
        </w:rPr>
        <w:t>механизмов ,</w:t>
      </w:r>
      <w:proofErr w:type="gramEnd"/>
      <w:r w:rsidRPr="00EC640A">
        <w:rPr>
          <w:lang w:val="ru-RU"/>
        </w:rPr>
        <w:t xml:space="preserve"> от теории перспектив </w:t>
      </w:r>
      <w:proofErr w:type="spellStart"/>
      <w:r w:rsidRPr="00EC640A">
        <w:rPr>
          <w:lang w:val="ru-RU"/>
        </w:rPr>
        <w:t>Канемана</w:t>
      </w:r>
      <w:proofErr w:type="spellEnd"/>
      <w:r w:rsidRPr="00EC640A">
        <w:rPr>
          <w:lang w:val="ru-RU"/>
        </w:rPr>
        <w:t xml:space="preserve"> до ментального учета </w:t>
      </w:r>
      <w:proofErr w:type="gramStart"/>
      <w:r w:rsidRPr="00EC640A">
        <w:rPr>
          <w:lang w:val="ru-RU"/>
        </w:rPr>
        <w:t>Талера ,</w:t>
      </w:r>
      <w:proofErr w:type="gramEnd"/>
      <w:r w:rsidRPr="00EC640A">
        <w:rPr>
          <w:lang w:val="ru-RU"/>
        </w:rPr>
        <w:t xml:space="preserve"> становится критически важным для построения эффективных бизнес-моделей в ритейле. Компании, игнорирующие психологию цифрового выбора и не обеспечивающие бесшовный переход между каналами, рискуют потерять контакт с аудиторией, чьи привычки и ожидания эволюционируют быстрее, чем традиционные маркетинговые стратегии.</w:t>
      </w:r>
    </w:p>
    <w:p w14:paraId="7655A72E" w14:textId="77777777" w:rsidR="005C688F" w:rsidRPr="00EC640A" w:rsidRDefault="00000000">
      <w:pPr>
        <w:pStyle w:val="1"/>
        <w:pageBreakBefore/>
        <w:ind w:firstLine="0"/>
        <w:rPr>
          <w:lang w:val="ru-RU"/>
        </w:rPr>
      </w:pPr>
      <w:bookmarkStart w:id="5" w:name="_Toc222574458"/>
      <w:r w:rsidRPr="00EC640A">
        <w:rPr>
          <w:rFonts w:ascii="Times New Roman" w:hAnsi="Times New Roman"/>
          <w:lang w:val="ru-RU"/>
        </w:rPr>
        <w:lastRenderedPageBreak/>
        <w:t>Глава 2. Анализ влияния цифровизации на российский рынок ритейла</w:t>
      </w:r>
      <w:bookmarkEnd w:id="5"/>
    </w:p>
    <w:p w14:paraId="4EFB826D" w14:textId="77777777" w:rsidR="005C688F" w:rsidRPr="00EC640A" w:rsidRDefault="00000000">
      <w:pPr>
        <w:pStyle w:val="21"/>
        <w:ind w:firstLine="0"/>
        <w:rPr>
          <w:lang w:val="ru-RU"/>
        </w:rPr>
      </w:pPr>
      <w:bookmarkStart w:id="6" w:name="_Toc222574459"/>
      <w:r w:rsidRPr="00EC640A">
        <w:rPr>
          <w:rFonts w:ascii="Times New Roman" w:hAnsi="Times New Roman"/>
          <w:lang w:val="ru-RU"/>
        </w:rPr>
        <w:t>2.1 Современное состояние и динамика развития электронной коммерции в РФ</w:t>
      </w:r>
      <w:bookmarkEnd w:id="6"/>
    </w:p>
    <w:p w14:paraId="21C76D09" w14:textId="77777777" w:rsidR="005C688F" w:rsidRPr="00EC640A" w:rsidRDefault="00000000">
      <w:pPr>
        <w:rPr>
          <w:lang w:val="ru-RU"/>
        </w:rPr>
      </w:pPr>
      <w:r w:rsidRPr="00EC640A">
        <w:rPr>
          <w:lang w:val="ru-RU"/>
        </w:rPr>
        <w:t>Российский рынок розничной торговли к началу 2026 года претерпел кардинальные изменения, обусловленные масштабным проникновением цифровых технологий во все сферы потребления. Если в предыдущее десятилетие электронная коммерция (</w:t>
      </w:r>
      <w:r>
        <w:t>e</w:t>
      </w:r>
      <w:r w:rsidRPr="00EC640A">
        <w:rPr>
          <w:lang w:val="ru-RU"/>
        </w:rPr>
        <w:t>-</w:t>
      </w:r>
      <w:r>
        <w:t>commerce</w:t>
      </w:r>
      <w:r w:rsidRPr="00EC640A">
        <w:rPr>
          <w:lang w:val="ru-RU"/>
        </w:rPr>
        <w:t>) воспринималась как дополнительный канал продаж, то сегодня она стала системообразующим элементом национальной экономики. Современное состояние отрасли характеризуется завершением этапа экстенсивного роста и переходом к фазе зрелости, сопровождающейся консолидацией активов и жесткой конкурентной борьбой за эффективность операционных процессов. Важно отметить, что отечественный ритейл развивался в уникальных условиях: санкционное давление, уход ряда глобальных брендов и разрыв логистических цепочек в 2022–2024 годах не только не остановили цифровизацию, но и стали катализатором для ускоренного развития внутренних платформ и сервисов.</w:t>
      </w:r>
    </w:p>
    <w:p w14:paraId="7AAEB926" w14:textId="77777777" w:rsidR="005C688F" w:rsidRPr="00EC640A" w:rsidRDefault="00000000">
      <w:pPr>
        <w:rPr>
          <w:lang w:val="ru-RU"/>
        </w:rPr>
      </w:pPr>
      <w:r w:rsidRPr="00EC640A">
        <w:rPr>
          <w:lang w:val="ru-RU"/>
        </w:rPr>
        <w:t>Анализ макроэкономических показателей свидетельствует о беспрецедентных темпах роста сектора. Согласно данным, полученным в ходе исследования рынка, объем интернет-торговли в России демонстрирует устойчивую положительную динамику, значительно опережая темпы роста традиционной розницы. Этот тренд подтверждается статистикой за последние шесть лет, отражающей взрывной рост интереса потребителей к дистанционным покупкам.</w:t>
      </w:r>
    </w:p>
    <w:p w14:paraId="1C01E091" w14:textId="77777777" w:rsidR="005C688F" w:rsidRPr="00EC640A" w:rsidRDefault="00000000">
      <w:pPr>
        <w:rPr>
          <w:lang w:val="ru-RU"/>
        </w:rPr>
      </w:pPr>
      <w:r w:rsidRPr="00EC640A">
        <w:rPr>
          <w:lang w:val="ru-RU"/>
        </w:rPr>
        <w:t>Наглядное представление о масштабах этого роста дает анализ статистических данных.</w:t>
      </w:r>
    </w:p>
    <w:p w14:paraId="0F10D499" w14:textId="77777777" w:rsidR="005C688F" w:rsidRDefault="00000000">
      <w:pPr>
        <w:spacing w:before="240" w:after="120"/>
        <w:jc w:val="center"/>
      </w:pPr>
      <w:r>
        <w:rPr>
          <w:noProof/>
        </w:rPr>
        <w:lastRenderedPageBreak/>
        <w:drawing>
          <wp:inline distT="0" distB="0" distL="0" distR="0" wp14:anchorId="22FCACB8" wp14:editId="527AC5FD">
            <wp:extent cx="4572000" cy="28357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4572000" cy="2835797"/>
                    </a:xfrm>
                    <a:prstGeom prst="rect">
                      <a:avLst/>
                    </a:prstGeom>
                  </pic:spPr>
                </pic:pic>
              </a:graphicData>
            </a:graphic>
          </wp:inline>
        </w:drawing>
      </w:r>
    </w:p>
    <w:p w14:paraId="13B8B4B9" w14:textId="77777777" w:rsidR="005C688F" w:rsidRPr="00EC640A" w:rsidRDefault="00000000">
      <w:pPr>
        <w:spacing w:before="120" w:after="240"/>
        <w:jc w:val="center"/>
        <w:rPr>
          <w:lang w:val="ru-RU"/>
        </w:rPr>
      </w:pPr>
      <w:r w:rsidRPr="00EC640A">
        <w:rPr>
          <w:i/>
          <w:sz w:val="24"/>
          <w:lang w:val="ru-RU"/>
        </w:rPr>
        <w:t>Рисунок 1 — Динамика объема рынка интернет-торговли в России (2020–2025 гг.)</w:t>
      </w:r>
    </w:p>
    <w:p w14:paraId="2FF9C718" w14:textId="77777777" w:rsidR="005C688F" w:rsidRPr="00EC640A" w:rsidRDefault="00000000">
      <w:pPr>
        <w:rPr>
          <w:lang w:val="ru-RU"/>
        </w:rPr>
      </w:pPr>
      <w:r w:rsidRPr="00EC640A">
        <w:rPr>
          <w:lang w:val="ru-RU"/>
        </w:rPr>
        <w:t xml:space="preserve">Как видно из представленного графика, объем рынка </w:t>
      </w:r>
      <w:r>
        <w:t>e</w:t>
      </w:r>
      <w:r w:rsidRPr="00EC640A">
        <w:rPr>
          <w:lang w:val="ru-RU"/>
        </w:rPr>
        <w:t>-</w:t>
      </w:r>
      <w:r>
        <w:t>commerce</w:t>
      </w:r>
      <w:r w:rsidRPr="00EC640A">
        <w:rPr>
          <w:lang w:val="ru-RU"/>
        </w:rPr>
        <w:t xml:space="preserve"> в денежном выражении увеличился с 3,2 трлн рублей в 2020 году до внушительных 11,5 трлн рублей по итогам 2025 года. Особенно показателен скачок показателей в период с 2023 по 2025 год, когда рынок практически удвоился — с 6,4 до 11,5 трлн рублей. Столь стремительная динамика объясняется синергией нескольких факторов: привыканием населения к онлайн-заказам, расширением географии доставки в малые города и села, а также существенным ростом инфляционных ожиданий, подталкивающих потребителей к поиску более выгодных предложений в сети. По данным аналитического агентства </w:t>
      </w:r>
      <w:r>
        <w:t>Data</w:t>
      </w:r>
      <w:r w:rsidRPr="00EC640A">
        <w:rPr>
          <w:lang w:val="ru-RU"/>
        </w:rPr>
        <w:t xml:space="preserve"> </w:t>
      </w:r>
      <w:r>
        <w:t>Insight</w:t>
      </w:r>
      <w:r w:rsidRPr="00EC640A">
        <w:rPr>
          <w:lang w:val="ru-RU"/>
        </w:rPr>
        <w:t>, количество заказов в 2025 году выросло быстрее, чем денежный оборот, что свидетельствует о снижении среднего чека и переходе онлайн-шопинга в категорию повседневной рутины</w:t>
      </w:r>
      <w:r>
        <w:rPr>
          <w:vertAlign w:val="superscript"/>
        </w:rPr>
        <w:footnoteReference w:id="12"/>
      </w:r>
      <w:r w:rsidRPr="00EC640A">
        <w:rPr>
          <w:lang w:val="ru-RU"/>
        </w:rPr>
        <w:t>.</w:t>
      </w:r>
    </w:p>
    <w:p w14:paraId="1C57ABCD" w14:textId="77777777" w:rsidR="005C688F" w:rsidRPr="00EC640A" w:rsidRDefault="00000000">
      <w:pPr>
        <w:rPr>
          <w:lang w:val="ru-RU"/>
        </w:rPr>
      </w:pPr>
      <w:r w:rsidRPr="00EC640A">
        <w:rPr>
          <w:lang w:val="ru-RU"/>
        </w:rPr>
        <w:t xml:space="preserve">Сопоставление данных онлайн-сектора с общими показателями ритейла позволяет оценить глубину проникновения технологий. Официальная статистика подтверждает, что доля интернет-торговли в общем обороте розничной торговли </w:t>
      </w:r>
      <w:r w:rsidRPr="00EC640A">
        <w:rPr>
          <w:lang w:val="ru-RU"/>
        </w:rPr>
        <w:lastRenderedPageBreak/>
        <w:t>неуклонно растет. Если в начале десятилетия этот показатель колебался в районе 10–12%, то к концу 2025 года в непродовольственном секторе он превысил 40% в крупных городах. Росстат фиксирует изменение самой структуры потребления: россияне все чаще отказываются от посещения гипермаркетов в пользу оформления доставки, что заставляет традиционные сети пересматривать свои стратегии развития и сокращать торговые площади</w:t>
      </w:r>
      <w:r>
        <w:rPr>
          <w:vertAlign w:val="superscript"/>
        </w:rPr>
        <w:footnoteReference w:id="13"/>
      </w:r>
      <w:r w:rsidRPr="00EC640A">
        <w:rPr>
          <w:lang w:val="ru-RU"/>
        </w:rPr>
        <w:t>.</w:t>
      </w:r>
    </w:p>
    <w:p w14:paraId="6A66A745" w14:textId="77777777" w:rsidR="005C688F" w:rsidRPr="00EC640A" w:rsidRDefault="00000000">
      <w:pPr>
        <w:rPr>
          <w:lang w:val="ru-RU"/>
        </w:rPr>
      </w:pPr>
      <w:r w:rsidRPr="00EC640A">
        <w:rPr>
          <w:lang w:val="ru-RU"/>
        </w:rPr>
        <w:t>Ключевой характеристикой современного этапа развития рынка является его высочайшая концентрация. Фактически, в России сформировалась олигопольная структура, где доминирующее положение занимают универсальные маркетплейсы. Эти платформы аккумулируют вокруг себя миллионы продавцов (селлеров) и покупателей, выступая главными бенефициарами цифровой трансформации. Модель маркетплейса оказалась наиболее устойчивой к кризисным явлениям благодаря отсутствию необходимости в замораживании огромных средств в товарных запасах — основные риски перекладываются на партнеров-продавцов, в то время как площадка зарабатывает на комиссиях, логистике и рекламных инструментах.</w:t>
      </w:r>
    </w:p>
    <w:p w14:paraId="7F2BED0F" w14:textId="77777777" w:rsidR="005C688F" w:rsidRPr="00EC640A" w:rsidRDefault="00000000">
      <w:pPr>
        <w:rPr>
          <w:lang w:val="ru-RU"/>
        </w:rPr>
      </w:pPr>
      <w:r w:rsidRPr="00EC640A">
        <w:rPr>
          <w:lang w:val="ru-RU"/>
        </w:rPr>
        <w:t>Распределение сил между ключевыми игроками рынка по итогам 2025 года демонстрирует явный отрыв лидеров от преследователей.</w:t>
      </w:r>
    </w:p>
    <w:p w14:paraId="53326756" w14:textId="77777777" w:rsidR="005C688F" w:rsidRDefault="00000000">
      <w:pPr>
        <w:spacing w:before="240" w:after="120"/>
        <w:jc w:val="center"/>
      </w:pPr>
      <w:r>
        <w:rPr>
          <w:noProof/>
        </w:rPr>
        <w:lastRenderedPageBreak/>
        <w:drawing>
          <wp:inline distT="0" distB="0" distL="0" distR="0" wp14:anchorId="4B0A6F20" wp14:editId="6A55EDE6">
            <wp:extent cx="4572000" cy="28357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4572000" cy="2835797"/>
                    </a:xfrm>
                    <a:prstGeom prst="rect">
                      <a:avLst/>
                    </a:prstGeom>
                  </pic:spPr>
                </pic:pic>
              </a:graphicData>
            </a:graphic>
          </wp:inline>
        </w:drawing>
      </w:r>
    </w:p>
    <w:p w14:paraId="4FB33711" w14:textId="77777777" w:rsidR="005C688F" w:rsidRPr="00EC640A" w:rsidRDefault="00000000">
      <w:pPr>
        <w:spacing w:before="120" w:after="240"/>
        <w:jc w:val="center"/>
        <w:rPr>
          <w:lang w:val="ru-RU"/>
        </w:rPr>
      </w:pPr>
      <w:r w:rsidRPr="00EC640A">
        <w:rPr>
          <w:i/>
          <w:sz w:val="24"/>
          <w:lang w:val="ru-RU"/>
        </w:rPr>
        <w:t xml:space="preserve">Рисунок 2 — Структура рынка </w:t>
      </w:r>
      <w:r>
        <w:rPr>
          <w:i/>
          <w:sz w:val="24"/>
        </w:rPr>
        <w:t>e</w:t>
      </w:r>
      <w:r w:rsidRPr="00EC640A">
        <w:rPr>
          <w:i/>
          <w:sz w:val="24"/>
          <w:lang w:val="ru-RU"/>
        </w:rPr>
        <w:t>-</w:t>
      </w:r>
      <w:r>
        <w:rPr>
          <w:i/>
          <w:sz w:val="24"/>
        </w:rPr>
        <w:t>commerce</w:t>
      </w:r>
      <w:r w:rsidRPr="00EC640A">
        <w:rPr>
          <w:i/>
          <w:sz w:val="24"/>
          <w:lang w:val="ru-RU"/>
        </w:rPr>
        <w:t xml:space="preserve"> в РФ по крупнейшим игрокам (2025 г.)</w:t>
      </w:r>
    </w:p>
    <w:p w14:paraId="29546570" w14:textId="77777777" w:rsidR="005C688F" w:rsidRPr="00EC640A" w:rsidRDefault="00000000">
      <w:pPr>
        <w:rPr>
          <w:lang w:val="ru-RU"/>
        </w:rPr>
      </w:pPr>
      <w:r w:rsidRPr="00EC640A">
        <w:rPr>
          <w:lang w:val="ru-RU"/>
        </w:rPr>
        <w:t xml:space="preserve">Данные показывают, что безусловным лидером рынка остается </w:t>
      </w:r>
      <w:r>
        <w:t>Wildberries</w:t>
      </w:r>
      <w:r w:rsidRPr="00EC640A">
        <w:rPr>
          <w:lang w:val="ru-RU"/>
        </w:rPr>
        <w:t xml:space="preserve"> с оборотом 3,75 трлн рублей, за ним следует </w:t>
      </w:r>
      <w:r>
        <w:t>Ozon</w:t>
      </w:r>
      <w:r w:rsidRPr="00EC640A">
        <w:rPr>
          <w:lang w:val="ru-RU"/>
        </w:rPr>
        <w:t xml:space="preserve"> с показателем 2,69 трлн рублей. Совокупная доля этих двух гигантов превышает 50% всего рынка </w:t>
      </w:r>
      <w:r>
        <w:t>e</w:t>
      </w:r>
      <w:r w:rsidRPr="00EC640A">
        <w:rPr>
          <w:lang w:val="ru-RU"/>
        </w:rPr>
        <w:t>-</w:t>
      </w:r>
      <w:r>
        <w:t>commerce</w:t>
      </w:r>
      <w:r w:rsidRPr="00EC640A">
        <w:rPr>
          <w:lang w:val="ru-RU"/>
        </w:rPr>
        <w:t>, что позволяет говорить о формировании дуополии в сегменте универсальных маркетплейсов. Другие крупные игроки, развивающие экосистемные проекты, такие как Сбер (807,7 млрд руб.) и Яндекс (757,9 млрд руб.), показывают значительные объемы, но существенно отстают от лидеров по обороту товарной массы (</w:t>
      </w:r>
      <w:r>
        <w:t>GMV</w:t>
      </w:r>
      <w:r w:rsidRPr="00EC640A">
        <w:rPr>
          <w:lang w:val="ru-RU"/>
        </w:rPr>
        <w:t xml:space="preserve">). Примечательно присутствие в топе компании </w:t>
      </w:r>
      <w:r>
        <w:t>DNS</w:t>
      </w:r>
      <w:r w:rsidRPr="00EC640A">
        <w:rPr>
          <w:lang w:val="ru-RU"/>
        </w:rPr>
        <w:t xml:space="preserve"> (260,7 млрд руб.), которая, являясь классическим ритейлером бытовой техники и электроники, смогла эффективно адаптироваться к цифровым реалиям, сохранив значимую долю рынка.</w:t>
      </w:r>
    </w:p>
    <w:p w14:paraId="25C4407F" w14:textId="77777777" w:rsidR="005C688F" w:rsidRPr="00EC640A" w:rsidRDefault="00000000">
      <w:pPr>
        <w:rPr>
          <w:lang w:val="ru-RU"/>
        </w:rPr>
      </w:pPr>
      <w:r w:rsidRPr="00EC640A">
        <w:rPr>
          <w:lang w:val="ru-RU"/>
        </w:rPr>
        <w:t xml:space="preserve">Доминирование маркетплейсов тесно связано с развитием экосистемного подхода в экономике. Как отмечает М.Ю. Шерешева, экосистемы создают замкнутый контур сервисов, удерживающий потребителя внутри одной платформы. Успех </w:t>
      </w:r>
      <w:r>
        <w:t>Wildberries</w:t>
      </w:r>
      <w:r w:rsidRPr="00EC640A">
        <w:rPr>
          <w:lang w:val="ru-RU"/>
        </w:rPr>
        <w:t xml:space="preserve"> и </w:t>
      </w:r>
      <w:r>
        <w:t>Ozon</w:t>
      </w:r>
      <w:r w:rsidRPr="00EC640A">
        <w:rPr>
          <w:lang w:val="ru-RU"/>
        </w:rPr>
        <w:t xml:space="preserve"> обусловлен не только широким ассортиментом, но и созданием мощнейшей логистической и финансовой инфраструктуры. Открытие десятков тысяч пунктов выдачи заказов (ПВЗ) в </w:t>
      </w:r>
      <w:r w:rsidRPr="00EC640A">
        <w:rPr>
          <w:lang w:val="ru-RU"/>
        </w:rPr>
        <w:lastRenderedPageBreak/>
        <w:t>шаговой доступности сделало онлайн-торговлю доступной даже в отдаленных регионах страны, где традиционный ритейл представлен слабо. Собственные финтех-решения (</w:t>
      </w:r>
      <w:r>
        <w:t>Ozon</w:t>
      </w:r>
      <w:r w:rsidRPr="00EC640A">
        <w:rPr>
          <w:lang w:val="ru-RU"/>
        </w:rPr>
        <w:t xml:space="preserve"> Банк, </w:t>
      </w:r>
      <w:r>
        <w:t>WB</w:t>
      </w:r>
      <w:r w:rsidRPr="00EC640A">
        <w:rPr>
          <w:lang w:val="ru-RU"/>
        </w:rPr>
        <w:t xml:space="preserve"> Кошелек) позволяют платформам снижать издержки на эквайринг и предлагать клиентам дополнительные скидки, что еще больше цементирует их рыночную власть</w:t>
      </w:r>
      <w:r>
        <w:rPr>
          <w:vertAlign w:val="superscript"/>
        </w:rPr>
        <w:footnoteReference w:id="14"/>
      </w:r>
      <w:r w:rsidRPr="00EC640A">
        <w:rPr>
          <w:lang w:val="ru-RU"/>
        </w:rPr>
        <w:t>.</w:t>
      </w:r>
    </w:p>
    <w:p w14:paraId="74EB1490" w14:textId="77777777" w:rsidR="005C688F" w:rsidRPr="00EC640A" w:rsidRDefault="00000000">
      <w:pPr>
        <w:rPr>
          <w:lang w:val="ru-RU"/>
        </w:rPr>
      </w:pPr>
      <w:r w:rsidRPr="00EC640A">
        <w:rPr>
          <w:lang w:val="ru-RU"/>
        </w:rPr>
        <w:t xml:space="preserve">Однако рост маркетплейсов не означает полного исчезновения других форматов. Напротив, наблюдается глубокая интеграция онлайн и офлайн каналов. В своей работе М.Д. Твердохлебова подчеркивает, что современная торговля может быть эффективной только в формате </w:t>
      </w:r>
      <w:proofErr w:type="spellStart"/>
      <w:r w:rsidRPr="00EC640A">
        <w:rPr>
          <w:lang w:val="ru-RU"/>
        </w:rPr>
        <w:t>омниканальности</w:t>
      </w:r>
      <w:proofErr w:type="spellEnd"/>
      <w:r w:rsidRPr="00EC640A">
        <w:rPr>
          <w:lang w:val="ru-RU"/>
        </w:rPr>
        <w:t xml:space="preserve">. Традиционные сети, такие как </w:t>
      </w:r>
      <w:r>
        <w:t>X</w:t>
      </w:r>
      <w:r w:rsidRPr="00EC640A">
        <w:rPr>
          <w:lang w:val="ru-RU"/>
        </w:rPr>
        <w:t xml:space="preserve">5 </w:t>
      </w:r>
      <w:r>
        <w:t>Group</w:t>
      </w:r>
      <w:r w:rsidRPr="00EC640A">
        <w:rPr>
          <w:lang w:val="ru-RU"/>
        </w:rPr>
        <w:t xml:space="preserve"> («Пятерочка», «Перекресток») или </w:t>
      </w:r>
      <w:r>
        <w:t>Melon</w:t>
      </w:r>
      <w:r w:rsidRPr="00EC640A">
        <w:rPr>
          <w:lang w:val="ru-RU"/>
        </w:rPr>
        <w:t xml:space="preserve"> </w:t>
      </w:r>
      <w:r>
        <w:t>Fashion</w:t>
      </w:r>
      <w:r w:rsidRPr="00EC640A">
        <w:rPr>
          <w:lang w:val="ru-RU"/>
        </w:rPr>
        <w:t xml:space="preserve"> </w:t>
      </w:r>
      <w:r>
        <w:t>Group</w:t>
      </w:r>
      <w:r w:rsidRPr="00EC640A">
        <w:rPr>
          <w:lang w:val="ru-RU"/>
        </w:rPr>
        <w:t>, активно развивают собственные цифровые витрины и используют магазины как дарксторы или пункты выдачи. Это позволяет им конкурировать с чистыми онлайн-игроками в скорости доставки, особенно в сегменте продуктов питания (</w:t>
      </w:r>
      <w:r>
        <w:t>e</w:t>
      </w:r>
      <w:r w:rsidRPr="00EC640A">
        <w:rPr>
          <w:lang w:val="ru-RU"/>
        </w:rPr>
        <w:t>-</w:t>
      </w:r>
      <w:r>
        <w:t>grocery</w:t>
      </w:r>
      <w:r w:rsidRPr="00EC640A">
        <w:rPr>
          <w:lang w:val="ru-RU"/>
        </w:rPr>
        <w:t>), который стал одним из драйверов роста рынка в 2024–2025 годах. Омниканальная модель позволяет сгладить недостатки чистого онлайна, предоставляя покупателю возможность тактильного контакта с товаром и простого возврата</w:t>
      </w:r>
      <w:r>
        <w:rPr>
          <w:vertAlign w:val="superscript"/>
        </w:rPr>
        <w:footnoteReference w:id="15"/>
      </w:r>
      <w:r w:rsidRPr="00EC640A">
        <w:rPr>
          <w:lang w:val="ru-RU"/>
        </w:rPr>
        <w:t>.</w:t>
      </w:r>
    </w:p>
    <w:p w14:paraId="7980BCA3" w14:textId="77777777" w:rsidR="005C688F" w:rsidRPr="00EC640A" w:rsidRDefault="00000000">
      <w:pPr>
        <w:rPr>
          <w:lang w:val="ru-RU"/>
        </w:rPr>
      </w:pPr>
      <w:r w:rsidRPr="00EC640A">
        <w:rPr>
          <w:lang w:val="ru-RU"/>
        </w:rPr>
        <w:t xml:space="preserve">Существенные изменения произошли и в товарной структуре российского </w:t>
      </w:r>
      <w:r>
        <w:t>e</w:t>
      </w:r>
      <w:r w:rsidRPr="00EC640A">
        <w:rPr>
          <w:lang w:val="ru-RU"/>
        </w:rPr>
        <w:t>-</w:t>
      </w:r>
      <w:r>
        <w:t>commerce</w:t>
      </w:r>
      <w:r w:rsidRPr="00EC640A">
        <w:rPr>
          <w:lang w:val="ru-RU"/>
        </w:rPr>
        <w:t>. Если на заре развития отрасли основными драйверами были бытовая техника и электроника, то к 2026 году лидирующие позиции заняли товары повседневного спроса (</w:t>
      </w:r>
      <w:r>
        <w:t>FMCG</w:t>
      </w:r>
      <w:r w:rsidRPr="00EC640A">
        <w:rPr>
          <w:lang w:val="ru-RU"/>
        </w:rPr>
        <w:t>), одежда, обувь и товары для дома. Категория продуктов питания показала наиболее высокие темпы роста, что связано с привычкой к экспресс-доставке, сформированной сервисами «</w:t>
      </w:r>
      <w:proofErr w:type="spellStart"/>
      <w:r w:rsidRPr="00EC640A">
        <w:rPr>
          <w:lang w:val="ru-RU"/>
        </w:rPr>
        <w:t>Яндекс.Лавка</w:t>
      </w:r>
      <w:proofErr w:type="spellEnd"/>
      <w:r w:rsidRPr="00EC640A">
        <w:rPr>
          <w:lang w:val="ru-RU"/>
        </w:rPr>
        <w:t xml:space="preserve">» и «Самокат». Удобство получения заказа за 15–30 минут привело к тому, что покупка продуктов онлайн перестала быть событием и превратилась в рутинную </w:t>
      </w:r>
      <w:r w:rsidRPr="00EC640A">
        <w:rPr>
          <w:lang w:val="ru-RU"/>
        </w:rPr>
        <w:lastRenderedPageBreak/>
        <w:t>операцию. Это, в свою очередь, стимулировало развитие локальных складских мощностей внутри жилых кварталов крупных городов.</w:t>
      </w:r>
    </w:p>
    <w:p w14:paraId="5AD1C1CF" w14:textId="77777777" w:rsidR="005C688F" w:rsidRPr="00EC640A" w:rsidRDefault="00000000">
      <w:pPr>
        <w:rPr>
          <w:lang w:val="ru-RU"/>
        </w:rPr>
      </w:pPr>
      <w:r w:rsidRPr="00EC640A">
        <w:rPr>
          <w:lang w:val="ru-RU"/>
        </w:rPr>
        <w:t>Географическая экспансия также стала важным трендом последних лет. Долгое время электронная торговля была сосредоточена в Москве, Санкт-Петербурге и городах-миллионниках. Однако данные за 2024–2025 годы показывают, что темпы роста в регионах существенно опережают столичные показатели. Инвестиции крупнейших маркетплейсов в строительство гигантских логистических хабов в Сибири, на Урале и Юге России позволили сократить сроки доставки до 1–2 дней для большинства населения страны. Это привело к выравниванию потребительских стандартов: житель небольшого районного центра сегодня имеет доступ к тому же ассортименту товаров, что и житель мегаполиса, что способствует сглаживанию социального неравенства в аспекте потребления.</w:t>
      </w:r>
    </w:p>
    <w:p w14:paraId="3C050122" w14:textId="77777777" w:rsidR="005C688F" w:rsidRPr="00EC640A" w:rsidRDefault="00000000">
      <w:pPr>
        <w:rPr>
          <w:lang w:val="ru-RU"/>
        </w:rPr>
      </w:pPr>
      <w:r w:rsidRPr="00EC640A">
        <w:rPr>
          <w:lang w:val="ru-RU"/>
        </w:rPr>
        <w:t xml:space="preserve">Нельзя не отметить и трансформацию рынка труда, вызванную бурным ростом </w:t>
      </w:r>
      <w:r>
        <w:t>e</w:t>
      </w:r>
      <w:r w:rsidRPr="00EC640A">
        <w:rPr>
          <w:lang w:val="ru-RU"/>
        </w:rPr>
        <w:t>-</w:t>
      </w:r>
      <w:r>
        <w:t>commerce</w:t>
      </w:r>
      <w:r w:rsidRPr="00EC640A">
        <w:rPr>
          <w:lang w:val="ru-RU"/>
        </w:rPr>
        <w:t xml:space="preserve">. Сектор стал одним из крупнейших работодателей в стране, создав огромный спрос на курьеров, сборщиков заказов, водителей и </w:t>
      </w:r>
      <w:r>
        <w:t>IT</w:t>
      </w:r>
      <w:r w:rsidRPr="00EC640A">
        <w:rPr>
          <w:lang w:val="ru-RU"/>
        </w:rPr>
        <w:t>-специалистов. Дефицит кадров, обострившийся в 2024–2025 годах, вынуждает компании повышать заработные платы и активно внедрять роботизацию на складах. Это создает определенные риски для рентабельности бизнеса, так как расходы на персонал и логистику («последняя миля») составляют значительную часть себестоимости онлайн-заказа.</w:t>
      </w:r>
    </w:p>
    <w:p w14:paraId="27095483" w14:textId="77777777" w:rsidR="005C688F" w:rsidRPr="00EC640A" w:rsidRDefault="00000000">
      <w:pPr>
        <w:rPr>
          <w:lang w:val="ru-RU"/>
        </w:rPr>
      </w:pPr>
      <w:r w:rsidRPr="00EC640A">
        <w:rPr>
          <w:lang w:val="ru-RU"/>
        </w:rPr>
        <w:t xml:space="preserve">Вместе с тем, бурный рост рынка сопровождается и усилением регуляторного внимания. Государство, видя растущую социальную значимость маркетплейсов, стремится упорядочить отношения между платформами, продавцами и владельцами пунктов выдачи. В 2025 году активно обсуждались поправки в закон «О торговле», направленные на ограничение монопольного положения цифровых гигантов и защиту прав малого бизнеса, работающего на их площадках. Это свидетельствует о том, что рынок переходит от стадии </w:t>
      </w:r>
      <w:r w:rsidRPr="00EC640A">
        <w:rPr>
          <w:lang w:val="ru-RU"/>
        </w:rPr>
        <w:lastRenderedPageBreak/>
        <w:t>«дикого» роста к стадии цивилизованного, регулируемого развития, где правила игры становятся более прозрачными и предсказуемыми.</w:t>
      </w:r>
    </w:p>
    <w:p w14:paraId="2BFBF34B" w14:textId="77777777" w:rsidR="005C688F" w:rsidRPr="00EC640A" w:rsidRDefault="00000000">
      <w:pPr>
        <w:rPr>
          <w:lang w:val="ru-RU"/>
        </w:rPr>
      </w:pPr>
      <w:r w:rsidRPr="00EC640A">
        <w:rPr>
          <w:lang w:val="ru-RU"/>
        </w:rPr>
        <w:t xml:space="preserve">Таким образом, современное состояние электронной коммерции в России характеризуется доминированием крупных экосистемных игроков, высокой долей маркетплейсов в структуре продаж и глубоким проникновением онлайн-сервисов в повседневную жизнь граждан. Рынок достиг объема 11,5 трлн рублей, став одним из локомотивов отечественной экономики. Консолидация отрасли вокруг двух ключевых игроков — </w:t>
      </w:r>
      <w:r>
        <w:t>Wildberries</w:t>
      </w:r>
      <w:r w:rsidRPr="00EC640A">
        <w:rPr>
          <w:lang w:val="ru-RU"/>
        </w:rPr>
        <w:t xml:space="preserve"> и </w:t>
      </w:r>
      <w:r>
        <w:t>Ozon</w:t>
      </w:r>
      <w:r w:rsidRPr="00EC640A">
        <w:rPr>
          <w:lang w:val="ru-RU"/>
        </w:rPr>
        <w:t xml:space="preserve"> — создает специфическую конкурентную среду, которая определяет не только логистические стандарты, но и, что более важно, механизмы ценообразования. Именно особенности ценовой конкуренции в условиях доминирования экосистем станут предметом рассмотрения в следующем параграфе.</w:t>
      </w:r>
    </w:p>
    <w:p w14:paraId="7BB14595" w14:textId="77777777" w:rsidR="005C688F" w:rsidRPr="00EC640A" w:rsidRDefault="00000000">
      <w:pPr>
        <w:pStyle w:val="21"/>
        <w:ind w:firstLine="0"/>
        <w:rPr>
          <w:lang w:val="ru-RU"/>
        </w:rPr>
      </w:pPr>
      <w:bookmarkStart w:id="7" w:name="_Toc222574460"/>
      <w:r w:rsidRPr="00EC640A">
        <w:rPr>
          <w:rFonts w:ascii="Times New Roman" w:hAnsi="Times New Roman"/>
          <w:lang w:val="ru-RU"/>
        </w:rPr>
        <w:t>2.2 Специфика ценовой конкуренции и экосистемного подхода в России</w:t>
      </w:r>
      <w:bookmarkEnd w:id="7"/>
    </w:p>
    <w:p w14:paraId="5AC74DF4" w14:textId="77777777" w:rsidR="005C688F" w:rsidRPr="00EC640A" w:rsidRDefault="00000000">
      <w:pPr>
        <w:rPr>
          <w:lang w:val="ru-RU"/>
        </w:rPr>
      </w:pPr>
      <w:r w:rsidRPr="00EC640A">
        <w:rPr>
          <w:lang w:val="ru-RU"/>
        </w:rPr>
        <w:t xml:space="preserve">Российский рынок розничной торговли к 2026 году сформировал уникальную модель конкуренции, которая существенно отличается от западных и азиатских аналогов. Если в США и Европе доминируют специализированные платформы или отдельные гиганты вроде </w:t>
      </w:r>
      <w:r>
        <w:t>Amazon</w:t>
      </w:r>
      <w:r w:rsidRPr="00EC640A">
        <w:rPr>
          <w:lang w:val="ru-RU"/>
        </w:rPr>
        <w:t>, то в России конкурентная борьба разворачивается между мультисервисными экосистемами, объединяющими ритейл, финтех, медиа и логистику. Специфика отечественного рынка заключается в том, что цена товара перестала быть единственным или даже главным фактором выбора. На первый план вышла «стоимость владения» подпиской на экосистему и совокупная выгода от использования связанных сервисов. В этой среде традиционные законы ценообразования искажаются под влиянием перекрестного субсидирования и борьбы за «жизненный цикл» клиента (</w:t>
      </w:r>
      <w:r>
        <w:t>LTV</w:t>
      </w:r>
      <w:r w:rsidRPr="00EC640A">
        <w:rPr>
          <w:lang w:val="ru-RU"/>
        </w:rPr>
        <w:t>).</w:t>
      </w:r>
    </w:p>
    <w:p w14:paraId="2B0667FA" w14:textId="77777777" w:rsidR="005C688F" w:rsidRPr="00EC640A" w:rsidRDefault="00000000">
      <w:pPr>
        <w:rPr>
          <w:lang w:val="ru-RU"/>
        </w:rPr>
      </w:pPr>
      <w:r w:rsidRPr="00EC640A">
        <w:rPr>
          <w:lang w:val="ru-RU"/>
        </w:rPr>
        <w:t xml:space="preserve">Центральным элементом новой экономической реальности стал экосистемный подход, при котором крупнейшие игроки — Сбер, Яндекс, МТС, а </w:t>
      </w:r>
      <w:r w:rsidRPr="00EC640A">
        <w:rPr>
          <w:lang w:val="ru-RU"/>
        </w:rPr>
        <w:lastRenderedPageBreak/>
        <w:t xml:space="preserve">также трансформировавшиеся в экосистемы маркетплейсы </w:t>
      </w:r>
      <w:r>
        <w:t>Ozon</w:t>
      </w:r>
      <w:r w:rsidRPr="00EC640A">
        <w:rPr>
          <w:lang w:val="ru-RU"/>
        </w:rPr>
        <w:t xml:space="preserve"> и </w:t>
      </w:r>
      <w:r>
        <w:t>Wildberries</w:t>
      </w:r>
      <w:r w:rsidRPr="00EC640A">
        <w:rPr>
          <w:lang w:val="ru-RU"/>
        </w:rPr>
        <w:t xml:space="preserve"> — стремятся замкнуть пользователя внутри своего контура. В докладе Банка России, опубликованном в 2024 году, подробно рассматривается этот феномен. Регулятор отмечает, что российские экосистемы используют агрессивные стратегии захвата рынка, предлагая услуги ниже себестоимости за счет доходов от других направлений бизнеса. Например, убытки от экспресс-доставки продуктов могут покрываться доходами от банковской деятельности или высокомаржинальной рекламы. Такой подход создает непреодолимые барьеры для входа новых игроков, которые не обладают финансовой подушкой для участия в «гонке на выживание». Банк России подчеркивает, что подобная модель ведет к формированию закрытых платформ, где ценообразование становится непрозрачным для внешнего аудитора</w:t>
      </w:r>
      <w:r>
        <w:rPr>
          <w:vertAlign w:val="superscript"/>
        </w:rPr>
        <w:footnoteReference w:id="16"/>
      </w:r>
      <w:r w:rsidRPr="00EC640A">
        <w:rPr>
          <w:lang w:val="ru-RU"/>
        </w:rPr>
        <w:t>.</w:t>
      </w:r>
    </w:p>
    <w:p w14:paraId="2FCFAF99" w14:textId="77777777" w:rsidR="005C688F" w:rsidRPr="00EC640A" w:rsidRDefault="00000000">
      <w:pPr>
        <w:rPr>
          <w:lang w:val="ru-RU"/>
        </w:rPr>
      </w:pPr>
      <w:r w:rsidRPr="00EC640A">
        <w:rPr>
          <w:lang w:val="ru-RU"/>
        </w:rPr>
        <w:t>Важной особенностью ценовой конкуренции в РФ является широкое распространение подписной модели (</w:t>
      </w:r>
      <w:r>
        <w:t>Yandex</w:t>
      </w:r>
      <w:r w:rsidRPr="00EC640A">
        <w:rPr>
          <w:lang w:val="ru-RU"/>
        </w:rPr>
        <w:t xml:space="preserve"> </w:t>
      </w:r>
      <w:r>
        <w:t>Plus</w:t>
      </w:r>
      <w:r w:rsidRPr="00EC640A">
        <w:rPr>
          <w:lang w:val="ru-RU"/>
        </w:rPr>
        <w:t xml:space="preserve">, </w:t>
      </w:r>
      <w:proofErr w:type="spellStart"/>
      <w:r w:rsidRPr="00EC640A">
        <w:rPr>
          <w:lang w:val="ru-RU"/>
        </w:rPr>
        <w:t>СберПрайм</w:t>
      </w:r>
      <w:proofErr w:type="spellEnd"/>
      <w:r w:rsidRPr="00EC640A">
        <w:rPr>
          <w:lang w:val="ru-RU"/>
        </w:rPr>
        <w:t xml:space="preserve">, </w:t>
      </w:r>
      <w:r>
        <w:t>Ozon</w:t>
      </w:r>
      <w:r w:rsidRPr="00EC640A">
        <w:rPr>
          <w:lang w:val="ru-RU"/>
        </w:rPr>
        <w:t xml:space="preserve"> </w:t>
      </w:r>
      <w:r>
        <w:t>Premium</w:t>
      </w:r>
      <w:r w:rsidRPr="00EC640A">
        <w:rPr>
          <w:lang w:val="ru-RU"/>
        </w:rPr>
        <w:t xml:space="preserve">). Подписка трансформирует восприятие цены потребителем: разовая переплата за товар на «своей» платформе психологически компенсируется накоплением баллов </w:t>
      </w:r>
      <w:proofErr w:type="spellStart"/>
      <w:r w:rsidRPr="00EC640A">
        <w:rPr>
          <w:lang w:val="ru-RU"/>
        </w:rPr>
        <w:t>кэшбэка</w:t>
      </w:r>
      <w:proofErr w:type="spellEnd"/>
      <w:r w:rsidRPr="00EC640A">
        <w:rPr>
          <w:lang w:val="ru-RU"/>
        </w:rPr>
        <w:t xml:space="preserve">, которые можно потратить на такси, кино или заправку. Это снижает эластичность спроса по цене для лояльных пользователей. Фактически, конкуренция смещается из плоскости «у кого дешевле пакет молока» в плоскость «чья экосистемная валюта ликвиднее». Однако, как указывают аналитики </w:t>
      </w:r>
      <w:r>
        <w:t>McKinsey</w:t>
      </w:r>
      <w:r w:rsidRPr="00EC640A">
        <w:rPr>
          <w:lang w:val="ru-RU"/>
        </w:rPr>
        <w:t xml:space="preserve"> в своем глобальном отчете за 2025 год, российский рынок в этом аспекте опережает многие развитые страны. Если в мире тренд на супер-приложения (</w:t>
      </w:r>
      <w:r>
        <w:t>super</w:t>
      </w:r>
      <w:r w:rsidRPr="00EC640A">
        <w:rPr>
          <w:lang w:val="ru-RU"/>
        </w:rPr>
        <w:t>-</w:t>
      </w:r>
      <w:r>
        <w:t>apps</w:t>
      </w:r>
      <w:r w:rsidRPr="00EC640A">
        <w:rPr>
          <w:lang w:val="ru-RU"/>
        </w:rPr>
        <w:t xml:space="preserve">) только набирает обороты или, наоборот, стагнирует в пользу специализации, то в России интеграция сервисов достигла беспрецедентного уровня. </w:t>
      </w:r>
      <w:r>
        <w:t>McKinsey</w:t>
      </w:r>
      <w:r w:rsidRPr="00EC640A">
        <w:rPr>
          <w:lang w:val="ru-RU"/>
        </w:rPr>
        <w:t xml:space="preserve"> отмечает, что российские платформы научились монетизировать данные о транзакциях гораздо эффективнее, </w:t>
      </w:r>
      <w:r w:rsidRPr="00EC640A">
        <w:rPr>
          <w:lang w:val="ru-RU"/>
        </w:rPr>
        <w:lastRenderedPageBreak/>
        <w:t>предлагая персонализированные цены (</w:t>
      </w:r>
      <w:r>
        <w:t>price</w:t>
      </w:r>
      <w:r w:rsidRPr="00EC640A">
        <w:rPr>
          <w:lang w:val="ru-RU"/>
        </w:rPr>
        <w:t xml:space="preserve"> </w:t>
      </w:r>
      <w:r>
        <w:t>discrimination</w:t>
      </w:r>
      <w:r w:rsidRPr="00EC640A">
        <w:rPr>
          <w:lang w:val="ru-RU"/>
        </w:rPr>
        <w:t xml:space="preserve">) с точностью, недоступной европейским ритейлерам из-за жесткого регулирования </w:t>
      </w:r>
      <w:r>
        <w:t>GDPR</w:t>
      </w:r>
      <w:r>
        <w:rPr>
          <w:vertAlign w:val="superscript"/>
        </w:rPr>
        <w:footnoteReference w:id="17"/>
      </w:r>
      <w:r w:rsidRPr="00EC640A">
        <w:rPr>
          <w:lang w:val="ru-RU"/>
        </w:rPr>
        <w:t>.</w:t>
      </w:r>
    </w:p>
    <w:p w14:paraId="4D9048E3" w14:textId="77777777" w:rsidR="005C688F" w:rsidRPr="00EC640A" w:rsidRDefault="00000000">
      <w:pPr>
        <w:rPr>
          <w:lang w:val="ru-RU"/>
        </w:rPr>
      </w:pPr>
      <w:r w:rsidRPr="00EC640A">
        <w:rPr>
          <w:lang w:val="ru-RU"/>
        </w:rPr>
        <w:t xml:space="preserve">Особого внимания заслуживает механизм формирования цены на российских маркетплейсах, который получил название «принудительного дисконтирования». В отличие от классической модели, где продавец (селлер) самостоятельно устанавливает конечную цену, российские платформы (в первую очередь </w:t>
      </w:r>
      <w:r>
        <w:t>Wildberries</w:t>
      </w:r>
      <w:r w:rsidRPr="00EC640A">
        <w:rPr>
          <w:lang w:val="ru-RU"/>
        </w:rPr>
        <w:t xml:space="preserve"> и </w:t>
      </w:r>
      <w:r>
        <w:t>Ozon</w:t>
      </w:r>
      <w:r w:rsidRPr="00EC640A">
        <w:rPr>
          <w:lang w:val="ru-RU"/>
        </w:rPr>
        <w:t>) активно вмешиваются в ценообразование через инструмент СПП (скидка постоянного покупателя), которая субсидируется самой площадкой. Маркетплейс может в одностороннем порядке снизить цену на товар за счет собственной комиссии, чтобы выиграть конкуренцию у другой площадки. Это приводит к парадоксальной ситуации: один и тот же товар от одного продавца может стоить по-разному на разных витринах не из-за решения предпринимателя, а из-за алгоритмической войны платформ.</w:t>
      </w:r>
    </w:p>
    <w:p w14:paraId="3349112B" w14:textId="77777777" w:rsidR="005C688F" w:rsidRPr="00EC640A" w:rsidRDefault="00000000">
      <w:pPr>
        <w:rPr>
          <w:lang w:val="ru-RU"/>
        </w:rPr>
      </w:pPr>
      <w:r w:rsidRPr="00EC640A">
        <w:rPr>
          <w:lang w:val="ru-RU"/>
        </w:rPr>
        <w:t xml:space="preserve">Этот аспект подробно рассматривается в работах известного социолога В.В. Радаева. В своей статье он анализирует властные отношения в современных рыночных структурах, указывая на то, что экономическая власть сместилась от производителей брендов и даже от традиционных ритейлеров к цифровым платформам. Радаев аргументирует, что маркетплейсы устанавливают «институциональные правила обмена», принуждая поставщиков участвовать в бесконечных промо-акциях. Отказ от участия в распродаже («Черная пятница», «11.11») </w:t>
      </w:r>
      <w:proofErr w:type="spellStart"/>
      <w:r w:rsidRPr="00EC640A">
        <w:rPr>
          <w:lang w:val="ru-RU"/>
        </w:rPr>
        <w:t>пессимизирует</w:t>
      </w:r>
      <w:proofErr w:type="spellEnd"/>
      <w:r w:rsidRPr="00EC640A">
        <w:rPr>
          <w:lang w:val="ru-RU"/>
        </w:rPr>
        <w:t xml:space="preserve"> выдачу товара в поиске, фактически закрывая доступ к потребителю. Таким образом, ценовая конкуренция в России носит не добровольный, а административно-алгоритмический характер, где суверенитет продавца существенно ограничен правилами платформы</w:t>
      </w:r>
      <w:r>
        <w:rPr>
          <w:vertAlign w:val="superscript"/>
        </w:rPr>
        <w:footnoteReference w:id="18"/>
      </w:r>
      <w:r w:rsidRPr="00EC640A">
        <w:rPr>
          <w:lang w:val="ru-RU"/>
        </w:rPr>
        <w:t>.</w:t>
      </w:r>
    </w:p>
    <w:p w14:paraId="15247D42" w14:textId="77777777" w:rsidR="005C688F" w:rsidRPr="00EC640A" w:rsidRDefault="00000000">
      <w:pPr>
        <w:rPr>
          <w:lang w:val="ru-RU"/>
        </w:rPr>
      </w:pPr>
      <w:r w:rsidRPr="00EC640A">
        <w:rPr>
          <w:lang w:val="ru-RU"/>
        </w:rPr>
        <w:lastRenderedPageBreak/>
        <w:t>Еще одной специфической чертой российского рынка является глубокая интеграция финтеха в процесс покупки, что напрямую влияет на ценовую доступность. Инструменты рассрочки (</w:t>
      </w:r>
      <w:r>
        <w:t>BNPL</w:t>
      </w:r>
      <w:r w:rsidRPr="00EC640A">
        <w:rPr>
          <w:lang w:val="ru-RU"/>
        </w:rPr>
        <w:t xml:space="preserve"> — </w:t>
      </w:r>
      <w:r>
        <w:t>Buy</w:t>
      </w:r>
      <w:r w:rsidRPr="00EC640A">
        <w:rPr>
          <w:lang w:val="ru-RU"/>
        </w:rPr>
        <w:t xml:space="preserve"> </w:t>
      </w:r>
      <w:r>
        <w:t>Now</w:t>
      </w:r>
      <w:r w:rsidRPr="00EC640A">
        <w:rPr>
          <w:lang w:val="ru-RU"/>
        </w:rPr>
        <w:t xml:space="preserve">, </w:t>
      </w:r>
      <w:r>
        <w:t>Pay</w:t>
      </w:r>
      <w:r w:rsidRPr="00EC640A">
        <w:rPr>
          <w:lang w:val="ru-RU"/>
        </w:rPr>
        <w:t xml:space="preserve"> </w:t>
      </w:r>
      <w:r>
        <w:t>Later</w:t>
      </w:r>
      <w:r w:rsidRPr="00EC640A">
        <w:rPr>
          <w:lang w:val="ru-RU"/>
        </w:rPr>
        <w:t xml:space="preserve">), такие как «Сплит», «Долями» или «Мокка», интегрированы в карточки товаров и позволяют дробить цену на части. Это создает иллюзию низкой стоимости: товар за 40 000 рублей воспринимается как «10 000 рублей в месяц», что стимулирует импульсивный спрос на более дорогие категории. Российские экосистемы, имея в своей структуре банки, предлагают эти продукты практически </w:t>
      </w:r>
      <w:proofErr w:type="spellStart"/>
      <w:r w:rsidRPr="00EC640A">
        <w:rPr>
          <w:lang w:val="ru-RU"/>
        </w:rPr>
        <w:t>бесшовно</w:t>
      </w:r>
      <w:proofErr w:type="spellEnd"/>
      <w:r w:rsidRPr="00EC640A">
        <w:rPr>
          <w:lang w:val="ru-RU"/>
        </w:rPr>
        <w:t xml:space="preserve">, без длительных проверок кредитной истории. Это отличает РФ от многих других рынков, где </w:t>
      </w:r>
      <w:r>
        <w:t>BNPL</w:t>
      </w:r>
      <w:r w:rsidRPr="00EC640A">
        <w:rPr>
          <w:lang w:val="ru-RU"/>
        </w:rPr>
        <w:t>-провайдеры являются сторонними сервисами, а не частью торговой платформы. В результате, конкуренция цен подменяется конкуренцией кредитных условий и удобства оформления рассрочки.</w:t>
      </w:r>
    </w:p>
    <w:p w14:paraId="33E61043" w14:textId="77777777" w:rsidR="005C688F" w:rsidRPr="00EC640A" w:rsidRDefault="00000000">
      <w:pPr>
        <w:rPr>
          <w:lang w:val="ru-RU"/>
        </w:rPr>
      </w:pPr>
      <w:r w:rsidRPr="00EC640A">
        <w:rPr>
          <w:lang w:val="ru-RU"/>
        </w:rPr>
        <w:t>Ситуация с доминированием экосистем и их влиянием на ценообразование не могла остаться без внимания законодателя. В конце 2025 года были приняты важные поправки в Федеральный закон «Об основах государственного регулирования торговой деятельности». Эти изменения, вступившие в силу, направлены на ограничение дискриминационных практик со стороны цифровых платформ. Закон ввел понятие «цифровой полки» и обязал маркетплейсы раскрывать алгоритмы ранжирования товаров, а также запретил необоснованное занижение цен на собственные торговые марки (СТМ) платформ по сравнению с товарами сторонних продавцов. Согласно новой редакции закона, платформы с долей рынка свыше 35% (что актуально для лидеров рынка) подпадают под более жесткий антимонопольный контроль, запрещающий им навязывать невыгодные условия ценообразования своим партнерам</w:t>
      </w:r>
      <w:r>
        <w:rPr>
          <w:vertAlign w:val="superscript"/>
        </w:rPr>
        <w:footnoteReference w:id="19"/>
      </w:r>
      <w:r w:rsidRPr="00EC640A">
        <w:rPr>
          <w:lang w:val="ru-RU"/>
        </w:rPr>
        <w:t>.</w:t>
      </w:r>
    </w:p>
    <w:p w14:paraId="1C0AB887" w14:textId="77777777" w:rsidR="005C688F" w:rsidRPr="00EC640A" w:rsidRDefault="00000000">
      <w:pPr>
        <w:rPr>
          <w:lang w:val="ru-RU"/>
        </w:rPr>
      </w:pPr>
      <w:r w:rsidRPr="00EC640A">
        <w:rPr>
          <w:lang w:val="ru-RU"/>
        </w:rPr>
        <w:t xml:space="preserve">Однако правоприменительная практика пока находится на стадии формирования. Платформы находят способы обходить прямые запреты, </w:t>
      </w:r>
      <w:r w:rsidRPr="00EC640A">
        <w:rPr>
          <w:lang w:val="ru-RU"/>
        </w:rPr>
        <w:lastRenderedPageBreak/>
        <w:t>используя сложные системы рейтингов и индексов цен. Например, широко применяется «индекс цен»: если робот платформы находит товар продавца на другом сайте дешевле, он автоматически понижает рейтинг карточки или убирает кнопку «Купить». Это вынуждает продавцов поддерживать ценовой паритет, что де-факто ограничивает конкуренцию и замораживает цены на определенном уровне. Такая практика «ценовой полиции» со стороны маркетплейсов является предметом постоянных споров с Федеральной антимонопольной службой (ФАС), однако эффективность такого контроля остается высокой.</w:t>
      </w:r>
    </w:p>
    <w:p w14:paraId="6255D2E1" w14:textId="77777777" w:rsidR="005C688F" w:rsidRPr="00EC640A" w:rsidRDefault="00000000">
      <w:pPr>
        <w:rPr>
          <w:lang w:val="ru-RU"/>
        </w:rPr>
      </w:pPr>
      <w:r w:rsidRPr="00EC640A">
        <w:rPr>
          <w:lang w:val="ru-RU"/>
        </w:rPr>
        <w:t>Специфика конкуренции в российских регионах также накладывает отпечаток на ценовые стратегии. В условиях огромных расстояний логистическая составляющая в цене товара может достигать 30–40%. Экосистемы решают эту проблему через субсидирование логистики в новые регионы для захвата доли рынка. В 2024–2025 годах наблюдалась тенденция выравнивания цен между центром и регионами: платформы брали на себя часть расходов на доставку в Сибирь и на Дальний Восток, чтобы приучить локальных потребителей к онлайн-заказам. Это привело к вымыванию локальных офлайн-игроков, которые не могли предложить аналогичные цены без масштабной логистической сети. Таким образом, цифровизация парадоксальным образом привела к снижению цен для потребителя в моменте, но к снижению конкурентного разнообразия в долгосрочной перспективе.</w:t>
      </w:r>
    </w:p>
    <w:p w14:paraId="1187F8A7" w14:textId="77777777" w:rsidR="005C688F" w:rsidRPr="00EC640A" w:rsidRDefault="00000000">
      <w:pPr>
        <w:rPr>
          <w:lang w:val="ru-RU"/>
        </w:rPr>
      </w:pPr>
      <w:r w:rsidRPr="00EC640A">
        <w:rPr>
          <w:lang w:val="ru-RU"/>
        </w:rPr>
        <w:t xml:space="preserve">Кроме того, нельзя игнорировать фактор «серой» конкуренции. Значительная часть товаров на российских маркетплейсах ввозится по схеме параллельного импорта или через трансграничную торговлю. Это создает диспропорции в ценообразовании: один и тот же смартфон может продаваться официальным дистрибьютором с гарантией и уплатой всех налогов, и рядом — мелким селлером, ввезшим партию «в чемодане», по цене на 20–30% ниже. Экосистемы формально борются с контрафактом, но экономически заинтересованы в широте ассортимента и низких ценах, привлекающих трафик. </w:t>
      </w:r>
      <w:r w:rsidRPr="00EC640A">
        <w:rPr>
          <w:lang w:val="ru-RU"/>
        </w:rPr>
        <w:lastRenderedPageBreak/>
        <w:t>Это создает сложную среду, где легальный ритейл вынужден конкурировать не только с технологиями, но и с схемами оптимизации налогообложения.</w:t>
      </w:r>
    </w:p>
    <w:p w14:paraId="285ADC43" w14:textId="77777777" w:rsidR="005C688F" w:rsidRPr="00EC640A" w:rsidRDefault="00000000">
      <w:pPr>
        <w:rPr>
          <w:lang w:val="ru-RU"/>
        </w:rPr>
      </w:pPr>
      <w:r w:rsidRPr="00EC640A">
        <w:rPr>
          <w:lang w:val="ru-RU"/>
        </w:rPr>
        <w:t>Особое место в экосистемной конкуренции занимают собственные торговые марки (СТМ). Российские платформы активно запускают бренды во всех категориях — от электроники до подгузников. Обладая полными данными о спросе и ценовой чувствительности, они запускают товары-аналоги бестселлеров, предлагая их по цене на 10–15% ниже брендовых аналогов и продвигая их в топы выдачи. В отличие от офлайн-сетей, где полка ограничена физически, цифровая полка бесконечна, но внимание пользователя ограничено первым экраном смартфона. Монополизация этого «виртуального первого экрана» собственными товарами платформ является одним из главных вызовов для независимых производителей.</w:t>
      </w:r>
    </w:p>
    <w:p w14:paraId="40C0B5A8" w14:textId="77777777" w:rsidR="005C688F" w:rsidRPr="00EC640A" w:rsidRDefault="00000000">
      <w:pPr>
        <w:rPr>
          <w:lang w:val="ru-RU"/>
        </w:rPr>
      </w:pPr>
      <w:r w:rsidRPr="00EC640A">
        <w:rPr>
          <w:lang w:val="ru-RU"/>
        </w:rPr>
        <w:t xml:space="preserve">Таким образом, специфика ценовой конкуренции в России определяется доминированием замкнутых экосистем, которые используют перекрестное субсидирование и программы лояльности как основные инструменты борьбы за потребителя. Цена трансформируется в сложный продукт, включающий в себя стоимость подписки, условия рассрочки и </w:t>
      </w:r>
      <w:proofErr w:type="spellStart"/>
      <w:r w:rsidRPr="00EC640A">
        <w:rPr>
          <w:lang w:val="ru-RU"/>
        </w:rPr>
        <w:t>кэшбэк</w:t>
      </w:r>
      <w:proofErr w:type="spellEnd"/>
      <w:r w:rsidRPr="00EC640A">
        <w:rPr>
          <w:lang w:val="ru-RU"/>
        </w:rPr>
        <w:t>. Отношения между платформами и поставщиками характеризуются высоким уровнем зависимости последних от алгоритмических решений маркетплейсов, что подтверждается как социологическими исследованиями Радаева, так и вниманием регуляторов. В этих условиях потребитель получает краткосрочную выгоду от ценовых войн экосистем, но сталкивается с риском долгосрочного ограничения выбора и попадания в зависимость от одной платформы. Понимание этой специфики необходимо для анализа того, как именно меняются предпочтения самих покупателей, оказавшихся в центре этой технологической битвы, что будет рассмотрено в заключительном параграфе данной главы.</w:t>
      </w:r>
    </w:p>
    <w:p w14:paraId="3C05B42A" w14:textId="77777777" w:rsidR="005C688F" w:rsidRPr="00EC640A" w:rsidRDefault="00000000">
      <w:pPr>
        <w:pStyle w:val="21"/>
        <w:ind w:firstLine="0"/>
        <w:rPr>
          <w:lang w:val="ru-RU"/>
        </w:rPr>
      </w:pPr>
      <w:bookmarkStart w:id="8" w:name="_Toc222574461"/>
      <w:r w:rsidRPr="00EC640A">
        <w:rPr>
          <w:rFonts w:ascii="Times New Roman" w:hAnsi="Times New Roman"/>
          <w:lang w:val="ru-RU"/>
        </w:rPr>
        <w:lastRenderedPageBreak/>
        <w:t>2.3 Эволюция предпочтений и привычек российских потребителей под влиянием маркетплейсов</w:t>
      </w:r>
      <w:bookmarkEnd w:id="8"/>
    </w:p>
    <w:p w14:paraId="41DD89B2" w14:textId="77777777" w:rsidR="005C688F" w:rsidRPr="00EC640A" w:rsidRDefault="00000000">
      <w:pPr>
        <w:rPr>
          <w:lang w:val="ru-RU"/>
        </w:rPr>
      </w:pPr>
      <w:r w:rsidRPr="00EC640A">
        <w:rPr>
          <w:lang w:val="ru-RU"/>
        </w:rPr>
        <w:t>К 2026 году влияние цифровых платформ на повседневную жизнь россиян достигло того уровня, когда можно говорить о формировании принципиально нового типа потребительской культуры. Маркетплейсы перестали быть просто удобным каналом для совершения покупок; они трансформировались в социальную среду, формирующую вкусы, стандарты потребления и даже распорядок дня миллионов людей. Если на ранних этапах развития рынка ключевым мотивом обращения к онлайн-торговле была экономия или поиск редких товаров, то сегодня на первый план выходит фактор «радикального удобства» и экономии времени. Эволюция потребительских привычек в России происходит с беспрецедентной скоростью, и анализ этих изменений позволяет выявить глубокие сдвиги в структуре спроса и психологии принятия решений.</w:t>
      </w:r>
    </w:p>
    <w:p w14:paraId="6AF854B8" w14:textId="77777777" w:rsidR="005C688F" w:rsidRPr="00EC640A" w:rsidRDefault="00000000">
      <w:pPr>
        <w:rPr>
          <w:lang w:val="ru-RU"/>
        </w:rPr>
      </w:pPr>
      <w:r w:rsidRPr="00EC640A">
        <w:rPr>
          <w:lang w:val="ru-RU"/>
        </w:rPr>
        <w:t>Одним из наиболее показательных индикаторов изменения потребительского поведения является трансформация товарной корзины онлайн-покупателя. Долгое время локомотивом электронной коммерции выступали товары длительного пользования — электроника и бытовая техника. Покупка смартфона или телевизора в интернете считалась рациональным шагом, тогда как продукты питания и товары первой необходимости приобретались традиционным способом в магазинах у дома. Однако к 2025–2026 годам ситуация кардинально изменилась. Потребитель преодолел барьер недоверия к дистанционной покупке скоропортящихся товаров, что привело к структурному сдвигу всего рынка.</w:t>
      </w:r>
    </w:p>
    <w:p w14:paraId="53D6F5A1" w14:textId="77777777" w:rsidR="005C688F" w:rsidRPr="00EC640A" w:rsidRDefault="00000000">
      <w:pPr>
        <w:rPr>
          <w:lang w:val="ru-RU"/>
        </w:rPr>
      </w:pPr>
      <w:r w:rsidRPr="00EC640A">
        <w:rPr>
          <w:lang w:val="ru-RU"/>
        </w:rPr>
        <w:t>На рисунке представлена структура российского рынка электронной коммерции по итогам 2024–2025 годов.</w:t>
      </w:r>
    </w:p>
    <w:p w14:paraId="7899F2C8" w14:textId="77777777" w:rsidR="005C688F" w:rsidRDefault="00000000">
      <w:pPr>
        <w:spacing w:before="240" w:after="120"/>
        <w:jc w:val="center"/>
      </w:pPr>
      <w:r>
        <w:rPr>
          <w:noProof/>
        </w:rPr>
        <w:lastRenderedPageBreak/>
        <w:drawing>
          <wp:inline distT="0" distB="0" distL="0" distR="0" wp14:anchorId="7D947122" wp14:editId="42C52AB9">
            <wp:extent cx="4572000" cy="28319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4572000" cy="2831939"/>
                    </a:xfrm>
                    <a:prstGeom prst="rect">
                      <a:avLst/>
                    </a:prstGeom>
                  </pic:spPr>
                </pic:pic>
              </a:graphicData>
            </a:graphic>
          </wp:inline>
        </w:drawing>
      </w:r>
    </w:p>
    <w:p w14:paraId="4503E5EE" w14:textId="77777777" w:rsidR="005C688F" w:rsidRPr="00EC640A" w:rsidRDefault="00000000">
      <w:pPr>
        <w:spacing w:before="120" w:after="240"/>
        <w:jc w:val="center"/>
        <w:rPr>
          <w:lang w:val="ru-RU"/>
        </w:rPr>
      </w:pPr>
      <w:r w:rsidRPr="00EC640A">
        <w:rPr>
          <w:i/>
          <w:sz w:val="24"/>
          <w:lang w:val="ru-RU"/>
        </w:rPr>
        <w:t>Рисунок 3 — Изменение доли онлайн-покупок в основных товарных категориях</w:t>
      </w:r>
    </w:p>
    <w:p w14:paraId="4198BE4B" w14:textId="77777777" w:rsidR="005C688F" w:rsidRPr="00EC640A" w:rsidRDefault="00000000">
      <w:pPr>
        <w:rPr>
          <w:lang w:val="ru-RU"/>
        </w:rPr>
      </w:pPr>
      <w:r w:rsidRPr="00EC640A">
        <w:rPr>
          <w:lang w:val="ru-RU"/>
        </w:rPr>
        <w:t>Как видно из графика, категория «Продукты питания» вышла на первое место, заняв 16,9% от общего объема продаж. Это исторический перелом: еда потеснила традиционных лидеров — электронику и бытовую технику (14,3%), а также сравнялась с сегментом одежды и обуви (14,3%). Высокая доля товаров для дома и мебели (14,8%) также свидетельствует о том, что россияне перенесли рутинные хозяйственные закупки в цифровую среду. Этот сдвиг подтверждает тезис о том, что онлайн-шопинг перестал быть событийным процессом и стал неотъемлемой частью быта.</w:t>
      </w:r>
    </w:p>
    <w:p w14:paraId="1BC90D21" w14:textId="77777777" w:rsidR="005C688F" w:rsidRPr="00EC640A" w:rsidRDefault="00000000">
      <w:pPr>
        <w:rPr>
          <w:lang w:val="ru-RU"/>
        </w:rPr>
      </w:pPr>
      <w:r w:rsidRPr="00EC640A">
        <w:rPr>
          <w:lang w:val="ru-RU"/>
        </w:rPr>
        <w:t xml:space="preserve">Данные тенденции подробно анализируются в отраслевых отчетах. В исследовании агентства </w:t>
      </w:r>
      <w:proofErr w:type="spellStart"/>
      <w:r>
        <w:t>INFOLine</w:t>
      </w:r>
      <w:proofErr w:type="spellEnd"/>
      <w:r w:rsidRPr="00EC640A">
        <w:rPr>
          <w:lang w:val="ru-RU"/>
        </w:rPr>
        <w:t xml:space="preserve">-Аналитика отмечается, что драйвером роста категории </w:t>
      </w:r>
      <w:r>
        <w:t>Food</w:t>
      </w:r>
      <w:r w:rsidRPr="00EC640A">
        <w:rPr>
          <w:lang w:val="ru-RU"/>
        </w:rPr>
        <w:t xml:space="preserve"> стал не столько средний чек, сколько частота заказов. Потребители перешли от модели «закупки впрок» в гипермаркетах по выходным к модели </w:t>
      </w:r>
      <w:r>
        <w:t>on</w:t>
      </w:r>
      <w:r w:rsidRPr="00EC640A">
        <w:rPr>
          <w:lang w:val="ru-RU"/>
        </w:rPr>
        <w:t>-</w:t>
      </w:r>
      <w:r>
        <w:t>demand</w:t>
      </w:r>
      <w:r w:rsidRPr="00EC640A">
        <w:rPr>
          <w:lang w:val="ru-RU"/>
        </w:rPr>
        <w:t xml:space="preserve"> («по требованию»), заказывая продукты небольшими партиями несколько раз в неделю или даже в день. Это фундаментально меняет требования к сервису: если раньше покупатель был готов ждать доставку холодильника два дня, то теперь ожидание пакета молока дольше 30 минут воспринимается как низкое качество услуги. Привычка к мгновенному </w:t>
      </w:r>
      <w:r w:rsidRPr="00EC640A">
        <w:rPr>
          <w:lang w:val="ru-RU"/>
        </w:rPr>
        <w:lastRenderedPageBreak/>
        <w:t xml:space="preserve">удовлетворению потребностей, сформированная сервисами экспресс-доставки, распространяется и на другие категории, заставляя весь рынок </w:t>
      </w:r>
      <w:r>
        <w:t>Non</w:t>
      </w:r>
      <w:r w:rsidRPr="00EC640A">
        <w:rPr>
          <w:lang w:val="ru-RU"/>
        </w:rPr>
        <w:t>-</w:t>
      </w:r>
      <w:r>
        <w:t>Food</w:t>
      </w:r>
      <w:r w:rsidRPr="00EC640A">
        <w:rPr>
          <w:lang w:val="ru-RU"/>
        </w:rPr>
        <w:t xml:space="preserve"> ускорять логистические процессы</w:t>
      </w:r>
      <w:r>
        <w:rPr>
          <w:vertAlign w:val="superscript"/>
        </w:rPr>
        <w:footnoteReference w:id="20"/>
      </w:r>
      <w:r w:rsidRPr="00EC640A">
        <w:rPr>
          <w:lang w:val="ru-RU"/>
        </w:rPr>
        <w:t>.</w:t>
      </w:r>
    </w:p>
    <w:p w14:paraId="0B096237" w14:textId="77777777" w:rsidR="005C688F" w:rsidRPr="00EC640A" w:rsidRDefault="00000000">
      <w:pPr>
        <w:rPr>
          <w:lang w:val="ru-RU"/>
        </w:rPr>
      </w:pPr>
      <w:r w:rsidRPr="00EC640A">
        <w:rPr>
          <w:lang w:val="ru-RU"/>
        </w:rPr>
        <w:t>Важнейшим аспектом эволюции потребителя является изменение механизмов доверия и выбора. В условиях бесконечной «цифровой полки» бренд производителя теряет свое монопольное влияние на умы покупателей. В.И. Черенков в своей работе, посвященной маркетинговым коммуникациям, указывает на смену парадигмы: вертикальная коммуникация «бренд — потребитель» уступает место горизонтальной коммуникации «потребитель — потребитель». В среде маркетплейсов роль главного советчика выполняет не реклама по телевидению, а отзывы других пользователей, рейтинги и фото в разделе «ожидание/реальность». Российский покупатель демонстрирует высокий уровень вовлеченности в создание пользовательского контента (</w:t>
      </w:r>
      <w:r>
        <w:t>UGC</w:t>
      </w:r>
      <w:r w:rsidRPr="00EC640A">
        <w:rPr>
          <w:lang w:val="ru-RU"/>
        </w:rPr>
        <w:t>), воспринимая написание отзыва как гражданский долг или способ повысить свой социальный рейтинг на платформе. Доверие к незнакомым людям, оставившим комментарий, зачастую выше, чем к официальным заявлениям производителя, что заставляет бренды перераспределять бюджеты в пользу работы с репутацией внутри маркетплейсов</w:t>
      </w:r>
      <w:r>
        <w:rPr>
          <w:vertAlign w:val="superscript"/>
        </w:rPr>
        <w:footnoteReference w:id="21"/>
      </w:r>
      <w:r w:rsidRPr="00EC640A">
        <w:rPr>
          <w:lang w:val="ru-RU"/>
        </w:rPr>
        <w:t>.</w:t>
      </w:r>
    </w:p>
    <w:p w14:paraId="02098671" w14:textId="77777777" w:rsidR="005C688F" w:rsidRPr="00EC640A" w:rsidRDefault="00000000">
      <w:pPr>
        <w:rPr>
          <w:lang w:val="ru-RU"/>
        </w:rPr>
      </w:pPr>
      <w:r w:rsidRPr="00EC640A">
        <w:rPr>
          <w:lang w:val="ru-RU"/>
        </w:rPr>
        <w:t xml:space="preserve">Специфической чертой российского потребительского поведения стала привычка к «домашней примерочной». Благодаря широкой сети пунктов выдачи заказов (ПВЗ) с удобными кабинками, покупатели массово заказывают одежду и обувь в нескольких размерах и цветах с намерением выкупить только одну вещь или вовсе отказаться от заказа. Эта модель поведения, поощряемая бесплатной доставкой и возвратом (хотя платформы периодически пытаются вводить платный возврат для борьбы с злоупотреблениями), фактически уничтожает грань между онлайн и офлайн шопингом. ПВЗ превратился в гибридное </w:t>
      </w:r>
      <w:r w:rsidRPr="00EC640A">
        <w:rPr>
          <w:lang w:val="ru-RU"/>
        </w:rPr>
        <w:lastRenderedPageBreak/>
        <w:t>пространство, заменившее многим россиянам торговые центры, особенно в малых городах, где ассортимент локальных магазинов скуден. Поход в пункт выдачи стал новым социальным ритуалом, сопоставимым с походом на почту в прошлом веке, но с гораздо более позитивным эмоциональным окрасом.</w:t>
      </w:r>
    </w:p>
    <w:p w14:paraId="427741D7" w14:textId="77777777" w:rsidR="005C688F" w:rsidRPr="00EC640A" w:rsidRDefault="00000000">
      <w:pPr>
        <w:rPr>
          <w:lang w:val="ru-RU"/>
        </w:rPr>
      </w:pPr>
      <w:r w:rsidRPr="00EC640A">
        <w:rPr>
          <w:lang w:val="ru-RU"/>
        </w:rPr>
        <w:t>Кроме того, наблюдается феномен «геймификации потребления» и зависимость от скидочных механик. Российский потребитель традиционно чувствителен к цене, но в цифровой среде эта чувствительность гипертрофируется алгоритмами. Маркетплейсы приучили аудиторию к режиму перманентных распродаж («11.11», «Черная пятница», «Киберпонедельник», «Весенняя распродажа»). Исследования показывают, что многие пользователи заходят в приложения маркетплейсов не с конкретной целью покупки, а ради досуга — «полистать ленту» товаров, подобно тому, как они листают ленту социальных сетей. Это явление, получившее название «</w:t>
      </w:r>
      <w:proofErr w:type="spellStart"/>
      <w:r w:rsidRPr="00EC640A">
        <w:rPr>
          <w:lang w:val="ru-RU"/>
        </w:rPr>
        <w:t>думскроллинг</w:t>
      </w:r>
      <w:proofErr w:type="spellEnd"/>
      <w:r w:rsidRPr="00EC640A">
        <w:rPr>
          <w:lang w:val="ru-RU"/>
        </w:rPr>
        <w:t xml:space="preserve"> товаров», стимулирует импульсивные покупки, основанные на визуальной привлекательности карточки товара и таймере, отсчитывающем время до конца акции. Потребитель получает дофаминовое подкрепление не только от факта владения вещью, но и от ощущения «выгодной сделки», даже если эта выгода иллюзорна.</w:t>
      </w:r>
    </w:p>
    <w:p w14:paraId="7425B610" w14:textId="77777777" w:rsidR="005C688F" w:rsidRPr="00EC640A" w:rsidRDefault="00000000">
      <w:pPr>
        <w:rPr>
          <w:lang w:val="ru-RU"/>
        </w:rPr>
      </w:pPr>
      <w:r w:rsidRPr="00EC640A">
        <w:rPr>
          <w:lang w:val="ru-RU"/>
        </w:rPr>
        <w:t>Нельзя игнорировать и демографический сдвиг. Если ранее активными пользователями интернет-торговли были миллениалы и зумеры, то к 2026 году в процесс активно включилось старшее поколение («серебряная экономика»). Упрощение интерфейсов мобильных приложений, внедрение голосовых помощников и возможность оплаты через Систему быстрых платежей (СБП) снизили технологический порог входа. Пенсионеры оценили удобство доставки тяжелых товаров (кормов для животных, бытовой химии, круп) до двери, что существенно изменило структуру спроса в этих категориях. В то же время, молодое поколение демонстрирует тренд на осознанное потребление и ресейл. Платформы, реагируя на этот запрос, интегрируют разделы перепродажи (</w:t>
      </w:r>
      <w:r>
        <w:t>re</w:t>
      </w:r>
      <w:r w:rsidRPr="00EC640A">
        <w:rPr>
          <w:lang w:val="ru-RU"/>
        </w:rPr>
        <w:t>-</w:t>
      </w:r>
      <w:r>
        <w:lastRenderedPageBreak/>
        <w:t>commerce</w:t>
      </w:r>
      <w:r w:rsidRPr="00EC640A">
        <w:rPr>
          <w:lang w:val="ru-RU"/>
        </w:rPr>
        <w:t>) брендовых вещей, что также меняет привычный паттерн «купил — использовал — выбросил».</w:t>
      </w:r>
    </w:p>
    <w:p w14:paraId="65C6764D" w14:textId="77777777" w:rsidR="005C688F" w:rsidRPr="00EC640A" w:rsidRDefault="00000000">
      <w:pPr>
        <w:rPr>
          <w:lang w:val="ru-RU"/>
        </w:rPr>
      </w:pPr>
      <w:r w:rsidRPr="00EC640A">
        <w:rPr>
          <w:lang w:val="ru-RU"/>
        </w:rPr>
        <w:t xml:space="preserve">Эволюция затронула и финансовые привычки. Потребители все чаще отказываются от оплаты наличными или даже банковской картой при получении в пользу предоплаты или оплаты через внутренние кошельки платформ ради получения дополнительной скидки. Интеграция финтех-инструментов в процесс покупки привела к тому, что потребитель перестал воспринимать расставание с деньгами как болезненный процесс. Технологии оплаты «в один клик» или «оплата улыбкой» (биометрия) делают процесс транзакции незаметным, что способствует росту среднего чека и снижению контроля над расходами. Кредитование через </w:t>
      </w:r>
      <w:r>
        <w:t>BNPL</w:t>
      </w:r>
      <w:r w:rsidRPr="00EC640A">
        <w:rPr>
          <w:lang w:val="ru-RU"/>
        </w:rPr>
        <w:t>-сервисы («</w:t>
      </w:r>
      <w:proofErr w:type="spellStart"/>
      <w:r w:rsidRPr="00EC640A">
        <w:rPr>
          <w:lang w:val="ru-RU"/>
        </w:rPr>
        <w:t>сплитование</w:t>
      </w:r>
      <w:proofErr w:type="spellEnd"/>
      <w:r w:rsidRPr="00EC640A">
        <w:rPr>
          <w:lang w:val="ru-RU"/>
        </w:rPr>
        <w:t>» платежей) стало нормой для покупки одежды и косметики, а не только дорогой техники, что свидетельствует о изменении отношения к микрокредитованию: оно перестало быть признаком финансовой несостоятельности и стало инструментом управления личным бюджетом.</w:t>
      </w:r>
    </w:p>
    <w:p w14:paraId="09B556CC" w14:textId="77777777" w:rsidR="005C688F" w:rsidRPr="00EC640A" w:rsidRDefault="00000000">
      <w:pPr>
        <w:rPr>
          <w:lang w:val="ru-RU"/>
        </w:rPr>
      </w:pPr>
      <w:r w:rsidRPr="00EC640A">
        <w:rPr>
          <w:lang w:val="ru-RU"/>
        </w:rPr>
        <w:t>Интересным аспектом является снижение лояльности к брендам производителей в пользу лояльности к платформе. Потребителю 2026 года зачастую неважно, кто произвел футболку или кабель для зарядки; ему важно, чтобы товар был доставлен завтра, имел рейтинг «4.8» и участвовал в программе лояльности его основной экосистемы. Это явление, именуемое «</w:t>
      </w:r>
      <w:proofErr w:type="spellStart"/>
      <w:r w:rsidRPr="00EC640A">
        <w:rPr>
          <w:lang w:val="ru-RU"/>
        </w:rPr>
        <w:t>коммодитизацией</w:t>
      </w:r>
      <w:proofErr w:type="spellEnd"/>
      <w:r w:rsidRPr="00EC640A">
        <w:rPr>
          <w:lang w:val="ru-RU"/>
        </w:rPr>
        <w:t>» брендов, ставит перед производителями серьезный вызов: чтобы оставаться замеченными, им приходится инвестировать не в традиционный брендинг, а в инструменты продвижения внутри площадки. Покупатель доверяет выбору алгоритма («С этим товаром часто покупают», «Вам может понравиться») больше, чем собственной осведомленности о торговых марках.</w:t>
      </w:r>
    </w:p>
    <w:p w14:paraId="0CCF7607" w14:textId="77777777" w:rsidR="005C688F" w:rsidRPr="00EC640A" w:rsidRDefault="00000000">
      <w:pPr>
        <w:rPr>
          <w:lang w:val="ru-RU"/>
        </w:rPr>
      </w:pPr>
      <w:r w:rsidRPr="00EC640A">
        <w:rPr>
          <w:lang w:val="ru-RU"/>
        </w:rPr>
        <w:t xml:space="preserve">В заключение анализа следует отметить, что привычки российских потребителей стали более гибридными и требовательными. Сформировался </w:t>
      </w:r>
      <w:r w:rsidRPr="00EC640A">
        <w:rPr>
          <w:lang w:val="ru-RU"/>
        </w:rPr>
        <w:lastRenderedPageBreak/>
        <w:t>запрос на персонализацию не только предложения, но и цены. Покупатель ожидает, что платформа будет знать его предпочтения, размер одежды и любимые бренды, предлагая релевантную выборку товаров. При этом он готов делиться персональными данными в обмен на выгоду и удобство. Влияние маркетплейсов привело к тому, что стандарт обслуживания, заданный лидерами рынка (доставка за 1 день, беспроблемный возврат, поддержка 24/7), стал гигиеническим минимумом, по которому оцениваются все остальные участники розничной торговли. Любое отклонение от этого стандарта вызывает острую негативную реакцию, что делает потребителя главным драйвером дальнейшей технологической гонки ритейлеров.</w:t>
      </w:r>
    </w:p>
    <w:p w14:paraId="0DEF9A93" w14:textId="77777777" w:rsidR="005C688F" w:rsidRPr="00EC640A" w:rsidRDefault="00000000">
      <w:pPr>
        <w:rPr>
          <w:lang w:val="ru-RU"/>
        </w:rPr>
      </w:pPr>
      <w:r w:rsidRPr="00EC640A">
        <w:rPr>
          <w:lang w:val="ru-RU"/>
        </w:rPr>
        <w:t>Таким образом, цифровая трансформация создала нового российского потребителя — информированного, нетерпеливого, ориентированного на отзывы и социальное доказательство, для которого границы между онлайном и офлайном окончательно стерлись. Доминирование категории продуктов питания в структуре онлайн-продаж символизирует завершение этапа адаптации и переход к этапу тотальной цифровизации быта. Эти изменения носят необратимый характер и будут определять вектор развития экономики в ближайшие десятилетия.</w:t>
      </w:r>
    </w:p>
    <w:p w14:paraId="3C09BD70" w14:textId="77777777" w:rsidR="005C688F" w:rsidRPr="00EC640A" w:rsidRDefault="00000000">
      <w:pPr>
        <w:pStyle w:val="1"/>
        <w:pageBreakBefore/>
        <w:ind w:firstLine="0"/>
        <w:jc w:val="center"/>
        <w:rPr>
          <w:lang w:val="ru-RU"/>
        </w:rPr>
      </w:pPr>
      <w:bookmarkStart w:id="9" w:name="_Toc222574462"/>
      <w:r w:rsidRPr="00EC640A">
        <w:rPr>
          <w:rFonts w:ascii="Times New Roman" w:hAnsi="Times New Roman"/>
          <w:lang w:val="ru-RU"/>
        </w:rPr>
        <w:lastRenderedPageBreak/>
        <w:t>Заключение</w:t>
      </w:r>
      <w:bookmarkEnd w:id="9"/>
    </w:p>
    <w:p w14:paraId="5CB548D4" w14:textId="77777777" w:rsidR="005C688F" w:rsidRPr="00EC640A" w:rsidRDefault="00000000">
      <w:pPr>
        <w:rPr>
          <w:lang w:val="ru-RU"/>
        </w:rPr>
      </w:pPr>
      <w:r w:rsidRPr="00EC640A">
        <w:rPr>
          <w:lang w:val="ru-RU"/>
        </w:rPr>
        <w:t>Подводя итог проведенному исследованию, можно с уверенностью утверждать, что цифровая трансформация розничной торговли в России стала не просто технологическим трендом, а фундаментальным фактором, определяющим структуру национальной экономики. В ходе работы была достигнута поставленная цель: выявлено и проанализировано комплексное влияние цифровых технологий на стратегии ценообразования и трансформацию потребительских привычек.</w:t>
      </w:r>
    </w:p>
    <w:p w14:paraId="31B7D05F" w14:textId="77777777" w:rsidR="005C688F" w:rsidRPr="00EC640A" w:rsidRDefault="00000000">
      <w:pPr>
        <w:rPr>
          <w:lang w:val="ru-RU"/>
        </w:rPr>
      </w:pPr>
      <w:r w:rsidRPr="00EC640A">
        <w:rPr>
          <w:lang w:val="ru-RU"/>
        </w:rPr>
        <w:t xml:space="preserve">В первой главе работы были рассмотрены теоретические аспекты, которые показали, что современный ритейл переходит от линейных цепочек поставок к сложным платформенным экосистемам. Анализ литературы позволил установить, что ключевым драйвером изменений выступают большие данные и алгоритмы искусственного интеллекта. Они превратили ценообразование из статичной бухгалтерской процедуры в динамический инструмент конкурентной борьбы, позволяющий менять стоимость товара в реальном времени в зависимости от спроса и профиля покупателя. Также было выяснено, что </w:t>
      </w:r>
      <w:proofErr w:type="spellStart"/>
      <w:r w:rsidRPr="00EC640A">
        <w:rPr>
          <w:lang w:val="ru-RU"/>
        </w:rPr>
        <w:t>омниканальность</w:t>
      </w:r>
      <w:proofErr w:type="spellEnd"/>
      <w:r w:rsidRPr="00EC640A">
        <w:rPr>
          <w:lang w:val="ru-RU"/>
        </w:rPr>
        <w:t xml:space="preserve"> стала новой нормой: границы между онлайн и офлайн каналами стерлись, создав единое пространство для взаимодействия с клиентом.</w:t>
      </w:r>
    </w:p>
    <w:p w14:paraId="73C1A0CE" w14:textId="77777777" w:rsidR="005C688F" w:rsidRPr="00EC640A" w:rsidRDefault="00000000">
      <w:pPr>
        <w:rPr>
          <w:lang w:val="ru-RU"/>
        </w:rPr>
      </w:pPr>
      <w:r w:rsidRPr="00EC640A">
        <w:rPr>
          <w:lang w:val="ru-RU"/>
        </w:rPr>
        <w:t xml:space="preserve">Во второй главе был проведен детальный анализ российского рынка, который к 2026 году достиг объема 11,5 трлн рублей. Исследование показало, что отечественный ритейл характеризуется высокой концентрацией вокруг двух крупнейших маркетплейсов и развитием экосистемного подхода. Выявлено, что ценовая конкуренция в России приобрела специфические черты: борьба идет не за стоимость отдельного товара, а за «долю кошелька» клиента через подписочные модели и финансовые сервисы. Важным открытием стало изменение структуры спроса: категория продуктов питания впервые опередила электронику, что свидетельствует о полной адаптации населения к онлайн-покупкам. Российский потребитель стал более требовательным к скорости </w:t>
      </w:r>
      <w:r w:rsidRPr="00EC640A">
        <w:rPr>
          <w:lang w:val="ru-RU"/>
        </w:rPr>
        <w:lastRenderedPageBreak/>
        <w:t>сервиса, ориентируется на социальные доказательства в виде отзывов и активно использует инструменты рассрочки.</w:t>
      </w:r>
    </w:p>
    <w:p w14:paraId="6642E5EF" w14:textId="77777777" w:rsidR="005C688F" w:rsidRPr="00EC640A" w:rsidRDefault="00000000">
      <w:pPr>
        <w:rPr>
          <w:lang w:val="ru-RU"/>
        </w:rPr>
      </w:pPr>
      <w:r w:rsidRPr="00EC640A">
        <w:rPr>
          <w:lang w:val="ru-RU"/>
        </w:rPr>
        <w:t>Практическая значимость работы заключается в возможности использования полученных результатов торговыми предприятиями для корректировки своих стратегий развития. Понимание механизмов алгоритмического ценообразования и психологии цифрового потребителя позволит компаниям эффективнее управлять маржинальностью и удерживать клиентов в условиях жесткой конкуренции с экосистемами. Кроме того, выводы работы могут быть полезны для государственных регуляторов при совершенствовании антимонопольного законодательства в сфере электронной коммерции.</w:t>
      </w:r>
    </w:p>
    <w:p w14:paraId="2F7BFFA1" w14:textId="77777777" w:rsidR="005C688F" w:rsidRPr="00EC640A" w:rsidRDefault="00000000">
      <w:pPr>
        <w:rPr>
          <w:lang w:val="ru-RU"/>
        </w:rPr>
      </w:pPr>
      <w:r w:rsidRPr="00EC640A">
        <w:rPr>
          <w:lang w:val="ru-RU"/>
        </w:rPr>
        <w:t>Перспективным направлением для дальнейших исследований представляется изучение этических аспектов применения искусственного интеллекта в ритейле, а также долгосрочных последствий монополизации рынка маркетплейсами для малого и среднего бизнеса. Особый интерес вызывает анализ влияния геймификации и алгоритмических рекомендаций на финансовое благополучие домохозяйств, так как цифровая среда создает предпосылки для неконтролируемого роста импульсивного потребления. Таким образом, цифровая трансформация открывает широкое поле для научного поиска на стыке экономики, социологии и поведенческой психологии.</w:t>
      </w:r>
    </w:p>
    <w:p w14:paraId="430A9C5A" w14:textId="77777777" w:rsidR="005C688F" w:rsidRPr="00EC640A" w:rsidRDefault="00000000">
      <w:pPr>
        <w:pStyle w:val="1"/>
        <w:pageBreakBefore/>
        <w:ind w:firstLine="0"/>
        <w:rPr>
          <w:lang w:val="ru-RU"/>
        </w:rPr>
      </w:pPr>
      <w:bookmarkStart w:id="10" w:name="_Toc222574463"/>
      <w:r w:rsidRPr="00EC640A">
        <w:rPr>
          <w:rFonts w:ascii="Times New Roman" w:hAnsi="Times New Roman"/>
          <w:lang w:val="ru-RU"/>
        </w:rPr>
        <w:lastRenderedPageBreak/>
        <w:t>Список источников и литературы</w:t>
      </w:r>
      <w:bookmarkEnd w:id="10"/>
    </w:p>
    <w:p w14:paraId="091D12DF" w14:textId="77777777" w:rsidR="005C688F" w:rsidRPr="00EC640A" w:rsidRDefault="00000000">
      <w:pPr>
        <w:spacing w:before="240" w:after="80"/>
        <w:ind w:firstLine="0"/>
        <w:rPr>
          <w:lang w:val="ru-RU"/>
        </w:rPr>
      </w:pPr>
      <w:r w:rsidRPr="00EC640A">
        <w:rPr>
          <w:b/>
          <w:lang w:val="ru-RU"/>
        </w:rPr>
        <w:t>1. Книги, монографии и учебные пособия</w:t>
      </w:r>
    </w:p>
    <w:p w14:paraId="3B69B740" w14:textId="77777777" w:rsidR="005C688F" w:rsidRPr="00EC640A" w:rsidRDefault="00000000">
      <w:pPr>
        <w:rPr>
          <w:lang w:val="ru-RU"/>
        </w:rPr>
      </w:pPr>
      <w:r w:rsidRPr="00EC640A">
        <w:rPr>
          <w:lang w:val="ru-RU"/>
        </w:rPr>
        <w:t>1. Рынок электронной коммерции в России 2025: итоги и прогнозы / под ред. В.В. Радаева. М.: НИУ ВШЭ, 2025.</w:t>
      </w:r>
    </w:p>
    <w:p w14:paraId="61A7DB9A" w14:textId="77777777" w:rsidR="005C688F" w:rsidRPr="00EC640A" w:rsidRDefault="00000000">
      <w:pPr>
        <w:rPr>
          <w:lang w:val="ru-RU"/>
        </w:rPr>
      </w:pPr>
      <w:r w:rsidRPr="00EC640A">
        <w:rPr>
          <w:lang w:val="ru-RU"/>
        </w:rPr>
        <w:t xml:space="preserve">2. Котлер Ф. Маркетинг 5.0: Технологии следующего поколения / Ф. Котлер, Х. </w:t>
      </w:r>
      <w:proofErr w:type="spellStart"/>
      <w:r w:rsidRPr="00EC640A">
        <w:rPr>
          <w:lang w:val="ru-RU"/>
        </w:rPr>
        <w:t>Картаджайя</w:t>
      </w:r>
      <w:proofErr w:type="spellEnd"/>
      <w:r w:rsidRPr="00EC640A">
        <w:rPr>
          <w:lang w:val="ru-RU"/>
        </w:rPr>
        <w:t xml:space="preserve">, А. </w:t>
      </w:r>
      <w:proofErr w:type="spellStart"/>
      <w:r w:rsidRPr="00EC640A">
        <w:rPr>
          <w:lang w:val="ru-RU"/>
        </w:rPr>
        <w:t>Сетиаван</w:t>
      </w:r>
      <w:proofErr w:type="spellEnd"/>
      <w:r w:rsidRPr="00EC640A">
        <w:rPr>
          <w:lang w:val="ru-RU"/>
        </w:rPr>
        <w:t>. — М.: Эксмо, 2022.</w:t>
      </w:r>
    </w:p>
    <w:p w14:paraId="7FA09C7A" w14:textId="77777777" w:rsidR="005C688F" w:rsidRPr="00EC640A" w:rsidRDefault="00000000">
      <w:pPr>
        <w:rPr>
          <w:lang w:val="ru-RU"/>
        </w:rPr>
      </w:pPr>
      <w:r w:rsidRPr="00EC640A">
        <w:rPr>
          <w:lang w:val="ru-RU"/>
        </w:rPr>
        <w:t xml:space="preserve">3. </w:t>
      </w:r>
      <w:proofErr w:type="spellStart"/>
      <w:r w:rsidRPr="00EC640A">
        <w:rPr>
          <w:lang w:val="ru-RU"/>
        </w:rPr>
        <w:t>Авдашева</w:t>
      </w:r>
      <w:proofErr w:type="spellEnd"/>
      <w:r w:rsidRPr="00EC640A">
        <w:rPr>
          <w:lang w:val="ru-RU"/>
        </w:rPr>
        <w:t xml:space="preserve"> С.Б. Цифровые платформы в российской экономике: конкуренция и регулирование / С.Б. </w:t>
      </w:r>
      <w:proofErr w:type="spellStart"/>
      <w:r w:rsidRPr="00EC640A">
        <w:rPr>
          <w:lang w:val="ru-RU"/>
        </w:rPr>
        <w:t>Авдашева</w:t>
      </w:r>
      <w:proofErr w:type="spellEnd"/>
      <w:r w:rsidRPr="00EC640A">
        <w:rPr>
          <w:lang w:val="ru-RU"/>
        </w:rPr>
        <w:t>. — М.: Изд. дом Высшей школы экономики, 2023.</w:t>
      </w:r>
    </w:p>
    <w:p w14:paraId="4F9FE5FC" w14:textId="77777777" w:rsidR="005C688F" w:rsidRPr="00EC640A" w:rsidRDefault="00000000">
      <w:pPr>
        <w:rPr>
          <w:lang w:val="ru-RU"/>
        </w:rPr>
      </w:pPr>
      <w:r w:rsidRPr="00EC640A">
        <w:rPr>
          <w:lang w:val="ru-RU"/>
        </w:rPr>
        <w:t>4. Стратегия развития торговли в Российской Федерации на период до 2025 года (утв. приказом Минпромторга России от 25 декабря 2014 г. № 2733).</w:t>
      </w:r>
    </w:p>
    <w:p w14:paraId="4446E384" w14:textId="77777777" w:rsidR="005C688F" w:rsidRPr="00EC640A" w:rsidRDefault="00000000">
      <w:pPr>
        <w:rPr>
          <w:lang w:val="ru-RU"/>
        </w:rPr>
      </w:pPr>
      <w:r w:rsidRPr="00EC640A">
        <w:rPr>
          <w:lang w:val="ru-RU"/>
        </w:rPr>
        <w:t xml:space="preserve">5. Нагл Т. Стратегия и тактика ценообразования / Т. Нагл, Дж. Хоган, Дж. </w:t>
      </w:r>
      <w:proofErr w:type="spellStart"/>
      <w:r w:rsidRPr="00EC640A">
        <w:rPr>
          <w:lang w:val="ru-RU"/>
        </w:rPr>
        <w:t>Зейл</w:t>
      </w:r>
      <w:proofErr w:type="spellEnd"/>
      <w:r w:rsidRPr="00EC640A">
        <w:rPr>
          <w:lang w:val="ru-RU"/>
        </w:rPr>
        <w:t>. — СПб.: Питер, 2021.</w:t>
      </w:r>
    </w:p>
    <w:p w14:paraId="6E93192A" w14:textId="77777777" w:rsidR="005C688F" w:rsidRPr="00EC640A" w:rsidRDefault="00000000">
      <w:pPr>
        <w:rPr>
          <w:lang w:val="ru-RU"/>
        </w:rPr>
      </w:pPr>
      <w:r w:rsidRPr="00EC640A">
        <w:rPr>
          <w:lang w:val="ru-RU"/>
        </w:rPr>
        <w:t>6. Герасименко В.В. Ценообразование в условиях цифровой экономики: учебное пособие / В.В. Герасименко. — М.: Экономический факультет МГУ имени М.В. Ломоносова, 2022.</w:t>
      </w:r>
    </w:p>
    <w:p w14:paraId="1C3954C6" w14:textId="77777777" w:rsidR="005C688F" w:rsidRPr="00EC640A" w:rsidRDefault="00000000">
      <w:pPr>
        <w:rPr>
          <w:lang w:val="ru-RU"/>
        </w:rPr>
      </w:pPr>
      <w:r w:rsidRPr="00EC640A">
        <w:rPr>
          <w:lang w:val="ru-RU"/>
        </w:rPr>
        <w:t>7. Яковлева А.Ю. Алгоритмическое ценообразование: вызовы для антимонопольного регулирования // Закон. — 2023</w:t>
      </w:r>
      <w:proofErr w:type="gramStart"/>
      <w:r w:rsidRPr="00EC640A">
        <w:rPr>
          <w:lang w:val="ru-RU"/>
        </w:rPr>
        <w:t>. ,</w:t>
      </w:r>
      <w:proofErr w:type="gramEnd"/>
      <w:r w:rsidRPr="00EC640A">
        <w:rPr>
          <w:lang w:val="ru-RU"/>
        </w:rPr>
        <w:t xml:space="preserve"> № 9.</w:t>
      </w:r>
    </w:p>
    <w:p w14:paraId="5E75F4CA" w14:textId="77777777" w:rsidR="005C688F" w:rsidRPr="00EC640A" w:rsidRDefault="00000000">
      <w:pPr>
        <w:rPr>
          <w:lang w:val="ru-RU"/>
        </w:rPr>
      </w:pPr>
      <w:r w:rsidRPr="00EC640A">
        <w:rPr>
          <w:lang w:val="ru-RU"/>
        </w:rPr>
        <w:t xml:space="preserve">8. Липсиц И.В. Ценообразование: учебник и практикум для вузов / И.В. Липсиц. — 5-е изд., </w:t>
      </w:r>
      <w:proofErr w:type="spellStart"/>
      <w:r w:rsidRPr="00EC640A">
        <w:rPr>
          <w:lang w:val="ru-RU"/>
        </w:rPr>
        <w:t>перераб</w:t>
      </w:r>
      <w:proofErr w:type="spellEnd"/>
      <w:proofErr w:type="gramStart"/>
      <w:r w:rsidRPr="00EC640A">
        <w:rPr>
          <w:lang w:val="ru-RU"/>
        </w:rPr>
        <w:t>.</w:t>
      </w:r>
      <w:proofErr w:type="gramEnd"/>
      <w:r w:rsidRPr="00EC640A">
        <w:rPr>
          <w:lang w:val="ru-RU"/>
        </w:rPr>
        <w:t xml:space="preserve"> и доп. — М.: </w:t>
      </w:r>
      <w:proofErr w:type="spellStart"/>
      <w:r w:rsidRPr="00EC640A">
        <w:rPr>
          <w:lang w:val="ru-RU"/>
        </w:rPr>
        <w:t>Юрайт</w:t>
      </w:r>
      <w:proofErr w:type="spellEnd"/>
      <w:r w:rsidRPr="00EC640A">
        <w:rPr>
          <w:lang w:val="ru-RU"/>
        </w:rPr>
        <w:t>, 2024.</w:t>
      </w:r>
    </w:p>
    <w:p w14:paraId="6E3CC072" w14:textId="77777777" w:rsidR="005C688F" w:rsidRPr="00EC640A" w:rsidRDefault="00000000">
      <w:pPr>
        <w:rPr>
          <w:lang w:val="ru-RU"/>
        </w:rPr>
      </w:pPr>
      <w:r w:rsidRPr="00EC640A">
        <w:rPr>
          <w:lang w:val="ru-RU"/>
        </w:rPr>
        <w:t xml:space="preserve">9. </w:t>
      </w:r>
      <w:proofErr w:type="spellStart"/>
      <w:r w:rsidRPr="00EC640A">
        <w:rPr>
          <w:lang w:val="ru-RU"/>
        </w:rPr>
        <w:t>Канеман</w:t>
      </w:r>
      <w:proofErr w:type="spellEnd"/>
      <w:r w:rsidRPr="00EC640A">
        <w:rPr>
          <w:lang w:val="ru-RU"/>
        </w:rPr>
        <w:t xml:space="preserve"> Д. Думай медленно... решай быстро / Д. </w:t>
      </w:r>
      <w:proofErr w:type="spellStart"/>
      <w:r w:rsidRPr="00EC640A">
        <w:rPr>
          <w:lang w:val="ru-RU"/>
        </w:rPr>
        <w:t>Канеман</w:t>
      </w:r>
      <w:proofErr w:type="spellEnd"/>
      <w:r w:rsidRPr="00EC640A">
        <w:rPr>
          <w:lang w:val="ru-RU"/>
        </w:rPr>
        <w:t>. — М.: АСТ, 2023.</w:t>
      </w:r>
    </w:p>
    <w:p w14:paraId="2BAFD82A" w14:textId="77777777" w:rsidR="005C688F" w:rsidRDefault="00000000">
      <w:r>
        <w:t>10. Thaler R.H. Misbehaving: The Making of Behavioral Economics. — New York: W.W. Norton &amp; Company, 2021. — P. 78.</w:t>
      </w:r>
    </w:p>
    <w:p w14:paraId="14049BC0" w14:textId="77777777" w:rsidR="005C688F" w:rsidRPr="00EC640A" w:rsidRDefault="00000000">
      <w:pPr>
        <w:rPr>
          <w:lang w:val="ru-RU"/>
        </w:rPr>
      </w:pPr>
      <w:r w:rsidRPr="00EC640A">
        <w:rPr>
          <w:lang w:val="ru-RU"/>
        </w:rPr>
        <w:t>11. Халилова А.А. Влияние цифровизации на потребительское поведение // Маркетинг в России и за рубежом. — 2024</w:t>
      </w:r>
      <w:proofErr w:type="gramStart"/>
      <w:r w:rsidRPr="00EC640A">
        <w:rPr>
          <w:lang w:val="ru-RU"/>
        </w:rPr>
        <w:t>. ,</w:t>
      </w:r>
      <w:proofErr w:type="gramEnd"/>
      <w:r w:rsidRPr="00EC640A">
        <w:rPr>
          <w:lang w:val="ru-RU"/>
        </w:rPr>
        <w:t xml:space="preserve"> № 4.</w:t>
      </w:r>
    </w:p>
    <w:p w14:paraId="0FD7DC16" w14:textId="77777777" w:rsidR="005C688F" w:rsidRPr="00EC640A" w:rsidRDefault="00000000">
      <w:pPr>
        <w:rPr>
          <w:lang w:val="ru-RU"/>
        </w:rPr>
      </w:pPr>
      <w:r w:rsidRPr="00EC640A">
        <w:rPr>
          <w:lang w:val="ru-RU"/>
        </w:rPr>
        <w:lastRenderedPageBreak/>
        <w:t>12. Исследование «</w:t>
      </w:r>
      <w:r>
        <w:t>E</w:t>
      </w:r>
      <w:r w:rsidRPr="00EC640A">
        <w:rPr>
          <w:lang w:val="ru-RU"/>
        </w:rPr>
        <w:t>-</w:t>
      </w:r>
      <w:r>
        <w:t>commerce</w:t>
      </w:r>
      <w:r w:rsidRPr="00EC640A">
        <w:rPr>
          <w:lang w:val="ru-RU"/>
        </w:rPr>
        <w:t xml:space="preserve"> в России 2025»: основные тренды и прогнозы // </w:t>
      </w:r>
      <w:r>
        <w:t>Data</w:t>
      </w:r>
      <w:r w:rsidRPr="00EC640A">
        <w:rPr>
          <w:lang w:val="ru-RU"/>
        </w:rPr>
        <w:t xml:space="preserve"> </w:t>
      </w:r>
      <w:r>
        <w:t>Insight</w:t>
      </w:r>
      <w:r w:rsidRPr="00EC640A">
        <w:rPr>
          <w:lang w:val="ru-RU"/>
        </w:rPr>
        <w:t xml:space="preserve">. </w:t>
      </w:r>
      <w:r>
        <w:t>URL</w:t>
      </w:r>
      <w:r w:rsidRPr="00EC640A">
        <w:rPr>
          <w:lang w:val="ru-RU"/>
        </w:rPr>
        <w:t xml:space="preserve">: </w:t>
      </w:r>
      <w:r>
        <w:t>https</w:t>
      </w:r>
      <w:r w:rsidRPr="00EC640A">
        <w:rPr>
          <w:lang w:val="ru-RU"/>
        </w:rPr>
        <w:t>://</w:t>
      </w:r>
      <w:proofErr w:type="spellStart"/>
      <w:r>
        <w:t>datainsight</w:t>
      </w:r>
      <w:proofErr w:type="spellEnd"/>
      <w:r w:rsidRPr="00EC640A">
        <w:rPr>
          <w:lang w:val="ru-RU"/>
        </w:rPr>
        <w:t>.</w:t>
      </w:r>
      <w:proofErr w:type="spellStart"/>
      <w:r>
        <w:t>ru</w:t>
      </w:r>
      <w:proofErr w:type="spellEnd"/>
      <w:r w:rsidRPr="00EC640A">
        <w:rPr>
          <w:lang w:val="ru-RU"/>
        </w:rPr>
        <w:t xml:space="preserve"> (дата обращения: 19.02.2026).</w:t>
      </w:r>
    </w:p>
    <w:p w14:paraId="6722E878" w14:textId="77777777" w:rsidR="005C688F" w:rsidRPr="00EC640A" w:rsidRDefault="00000000">
      <w:pPr>
        <w:rPr>
          <w:lang w:val="ru-RU"/>
        </w:rPr>
      </w:pPr>
      <w:r w:rsidRPr="00EC640A">
        <w:rPr>
          <w:lang w:val="ru-RU"/>
        </w:rPr>
        <w:t xml:space="preserve">13. Аналитический обзор рынка розничной торговли в России за 2024–2025 годы // Официальный сайт Росстата. </w:t>
      </w:r>
      <w:r>
        <w:t>URL</w:t>
      </w:r>
      <w:r w:rsidRPr="00EC640A">
        <w:rPr>
          <w:lang w:val="ru-RU"/>
        </w:rPr>
        <w:t xml:space="preserve">: </w:t>
      </w:r>
      <w:r>
        <w:t>https</w:t>
      </w:r>
      <w:r w:rsidRPr="00EC640A">
        <w:rPr>
          <w:lang w:val="ru-RU"/>
        </w:rPr>
        <w:t>://</w:t>
      </w:r>
      <w:proofErr w:type="spellStart"/>
      <w:r>
        <w:t>rosstat</w:t>
      </w:r>
      <w:proofErr w:type="spellEnd"/>
      <w:r w:rsidRPr="00EC640A">
        <w:rPr>
          <w:lang w:val="ru-RU"/>
        </w:rPr>
        <w:t>.</w:t>
      </w:r>
      <w:r>
        <w:t>gov</w:t>
      </w:r>
      <w:r w:rsidRPr="00EC640A">
        <w:rPr>
          <w:lang w:val="ru-RU"/>
        </w:rPr>
        <w:t>.</w:t>
      </w:r>
      <w:proofErr w:type="spellStart"/>
      <w:r>
        <w:t>ru</w:t>
      </w:r>
      <w:proofErr w:type="spellEnd"/>
      <w:r w:rsidRPr="00EC640A">
        <w:rPr>
          <w:lang w:val="ru-RU"/>
        </w:rPr>
        <w:t xml:space="preserve"> (дата обращения: 20.02.2026).</w:t>
      </w:r>
    </w:p>
    <w:p w14:paraId="413D3170" w14:textId="77777777" w:rsidR="005C688F" w:rsidRPr="00EC640A" w:rsidRDefault="00000000">
      <w:pPr>
        <w:rPr>
          <w:lang w:val="ru-RU"/>
        </w:rPr>
      </w:pPr>
      <w:r w:rsidRPr="00EC640A">
        <w:rPr>
          <w:lang w:val="ru-RU"/>
        </w:rPr>
        <w:t>14. Шерешева М.Ю. Экосистемы в цифровой экономике: драйверы и барьеры развития // Вопросы экономики. — 2024. — № 5.</w:t>
      </w:r>
    </w:p>
    <w:p w14:paraId="639E7A77" w14:textId="77777777" w:rsidR="005C688F" w:rsidRPr="00EC640A" w:rsidRDefault="00000000">
      <w:pPr>
        <w:rPr>
          <w:lang w:val="ru-RU"/>
        </w:rPr>
      </w:pPr>
      <w:r w:rsidRPr="00EC640A">
        <w:rPr>
          <w:lang w:val="ru-RU"/>
        </w:rPr>
        <w:t xml:space="preserve">15. Твердохлебова М.Д. Омниканальная торговля: учебное пособие / М.Д. Твердохлебова. — М.: </w:t>
      </w:r>
      <w:proofErr w:type="spellStart"/>
      <w:r w:rsidRPr="00EC640A">
        <w:rPr>
          <w:lang w:val="ru-RU"/>
        </w:rPr>
        <w:t>КноРус</w:t>
      </w:r>
      <w:proofErr w:type="spellEnd"/>
      <w:r w:rsidRPr="00EC640A">
        <w:rPr>
          <w:lang w:val="ru-RU"/>
        </w:rPr>
        <w:t>, 2023.</w:t>
      </w:r>
    </w:p>
    <w:p w14:paraId="51CD0CD5" w14:textId="77777777" w:rsidR="005C688F" w:rsidRDefault="00000000">
      <w:r w:rsidRPr="00EC640A">
        <w:rPr>
          <w:lang w:val="ru-RU"/>
        </w:rPr>
        <w:t xml:space="preserve">16. Доклад Банка России «Развитие экосистем и регулирование платформенной занятости». </w:t>
      </w:r>
      <w:r>
        <w:t>М.: ЦБ РФ, 2024.</w:t>
      </w:r>
    </w:p>
    <w:p w14:paraId="42722CE8" w14:textId="77777777" w:rsidR="005C688F" w:rsidRPr="00EC640A" w:rsidRDefault="00000000">
      <w:pPr>
        <w:rPr>
          <w:lang w:val="ru-RU"/>
        </w:rPr>
      </w:pPr>
      <w:r>
        <w:t>17. Global E-commerce Trends Report 2025 // McKinsey &amp; Company. URL</w:t>
      </w:r>
      <w:r w:rsidRPr="00EC640A">
        <w:rPr>
          <w:lang w:val="ru-RU"/>
        </w:rPr>
        <w:t xml:space="preserve">: </w:t>
      </w:r>
      <w:r>
        <w:t>https</w:t>
      </w:r>
      <w:r w:rsidRPr="00EC640A">
        <w:rPr>
          <w:lang w:val="ru-RU"/>
        </w:rPr>
        <w:t>://</w:t>
      </w:r>
      <w:r>
        <w:t>www</w:t>
      </w:r>
      <w:r w:rsidRPr="00EC640A">
        <w:rPr>
          <w:lang w:val="ru-RU"/>
        </w:rPr>
        <w:t>.</w:t>
      </w:r>
      <w:proofErr w:type="spellStart"/>
      <w:r>
        <w:t>mckinsey</w:t>
      </w:r>
      <w:proofErr w:type="spellEnd"/>
      <w:r w:rsidRPr="00EC640A">
        <w:rPr>
          <w:lang w:val="ru-RU"/>
        </w:rPr>
        <w:t>.</w:t>
      </w:r>
      <w:r>
        <w:t>com</w:t>
      </w:r>
      <w:r w:rsidRPr="00EC640A">
        <w:rPr>
          <w:lang w:val="ru-RU"/>
        </w:rPr>
        <w:t xml:space="preserve"> (дата обращения: 18.02.2026).</w:t>
      </w:r>
    </w:p>
    <w:p w14:paraId="31319ED8" w14:textId="77777777" w:rsidR="005C688F" w:rsidRPr="00EC640A" w:rsidRDefault="00000000">
      <w:pPr>
        <w:rPr>
          <w:lang w:val="ru-RU"/>
        </w:rPr>
      </w:pPr>
      <w:r w:rsidRPr="00EC640A">
        <w:rPr>
          <w:lang w:val="ru-RU"/>
        </w:rPr>
        <w:t>18. Радаев В.В. Социология рынков: к новому этапу развития // Экономическая социология. — 2023. — Т. 24</w:t>
      </w:r>
      <w:proofErr w:type="gramStart"/>
      <w:r w:rsidRPr="00EC640A">
        <w:rPr>
          <w:lang w:val="ru-RU"/>
        </w:rPr>
        <w:t>. ,</w:t>
      </w:r>
      <w:proofErr w:type="gramEnd"/>
      <w:r w:rsidRPr="00EC640A">
        <w:rPr>
          <w:lang w:val="ru-RU"/>
        </w:rPr>
        <w:t xml:space="preserve"> № 2.</w:t>
      </w:r>
    </w:p>
    <w:p w14:paraId="57A780C9" w14:textId="77777777" w:rsidR="005C688F" w:rsidRPr="00EC640A" w:rsidRDefault="00000000">
      <w:pPr>
        <w:rPr>
          <w:lang w:val="ru-RU"/>
        </w:rPr>
      </w:pPr>
      <w:r w:rsidRPr="00EC640A">
        <w:rPr>
          <w:lang w:val="ru-RU"/>
        </w:rPr>
        <w:t>19. Федеральный закон от 28.12.2009 № 381-ФЗ «Об основах государственного регулирования торговой деятельности в Российской Федерации» (ред. от 25.12.2025).</w:t>
      </w:r>
    </w:p>
    <w:p w14:paraId="50048153" w14:textId="77777777" w:rsidR="005C688F" w:rsidRPr="00EC640A" w:rsidRDefault="00000000">
      <w:pPr>
        <w:rPr>
          <w:lang w:val="ru-RU"/>
        </w:rPr>
      </w:pPr>
      <w:r w:rsidRPr="00EC640A">
        <w:rPr>
          <w:lang w:val="ru-RU"/>
        </w:rPr>
        <w:t xml:space="preserve">20. Розничная торговля </w:t>
      </w:r>
      <w:r>
        <w:t>Food</w:t>
      </w:r>
      <w:r w:rsidRPr="00EC640A">
        <w:rPr>
          <w:lang w:val="ru-RU"/>
        </w:rPr>
        <w:t xml:space="preserve"> и </w:t>
      </w:r>
      <w:r>
        <w:t>Non</w:t>
      </w:r>
      <w:r w:rsidRPr="00EC640A">
        <w:rPr>
          <w:lang w:val="ru-RU"/>
        </w:rPr>
        <w:t>-</w:t>
      </w:r>
      <w:r>
        <w:t>Food</w:t>
      </w:r>
      <w:r w:rsidRPr="00EC640A">
        <w:rPr>
          <w:lang w:val="ru-RU"/>
        </w:rPr>
        <w:t xml:space="preserve">: итоги 2025 года // </w:t>
      </w:r>
      <w:proofErr w:type="spellStart"/>
      <w:r>
        <w:t>INFOLine</w:t>
      </w:r>
      <w:proofErr w:type="spellEnd"/>
      <w:r w:rsidRPr="00EC640A">
        <w:rPr>
          <w:lang w:val="ru-RU"/>
        </w:rPr>
        <w:t>-Аналитика. — 2026. — Февраль.</w:t>
      </w:r>
    </w:p>
    <w:p w14:paraId="57E232FB" w14:textId="77777777" w:rsidR="005C688F" w:rsidRDefault="00000000">
      <w:r w:rsidRPr="00EC640A">
        <w:rPr>
          <w:lang w:val="ru-RU"/>
        </w:rPr>
        <w:t xml:space="preserve">21. Черенков В.И. Эволюция маркетинговых коммуникаций в цифровой среде // Вестник Санкт-Петербургского университета. </w:t>
      </w:r>
      <w:proofErr w:type="spellStart"/>
      <w:r>
        <w:t>Экономика</w:t>
      </w:r>
      <w:proofErr w:type="spellEnd"/>
      <w:r>
        <w:t>. , 2023. , Т. 39. , № 1.</w:t>
      </w:r>
    </w:p>
    <w:p w14:paraId="1BCA9B41" w14:textId="77777777" w:rsidR="005C688F" w:rsidRDefault="00000000">
      <w:pPr>
        <w:pageBreakBefore/>
        <w:spacing w:before="360" w:after="240"/>
        <w:ind w:firstLine="0"/>
        <w:jc w:val="center"/>
      </w:pPr>
      <w:r>
        <w:rPr>
          <w:b/>
          <w:sz w:val="32"/>
        </w:rPr>
        <w:lastRenderedPageBreak/>
        <w:t>Приложение</w:t>
      </w:r>
    </w:p>
    <w:p w14:paraId="46B2DECF" w14:textId="77777777" w:rsidR="005C688F" w:rsidRDefault="00000000">
      <w:pPr>
        <w:spacing w:before="240" w:after="120"/>
        <w:jc w:val="center"/>
      </w:pPr>
      <w:r>
        <w:rPr>
          <w:noProof/>
        </w:rPr>
        <w:drawing>
          <wp:inline distT="0" distB="0" distL="0" distR="0" wp14:anchorId="2104E156" wp14:editId="534569D2">
            <wp:extent cx="4572000" cy="28357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4572000" cy="2835797"/>
                    </a:xfrm>
                    <a:prstGeom prst="rect">
                      <a:avLst/>
                    </a:prstGeom>
                  </pic:spPr>
                </pic:pic>
              </a:graphicData>
            </a:graphic>
          </wp:inline>
        </w:drawing>
      </w:r>
    </w:p>
    <w:p w14:paraId="571A8F01" w14:textId="77777777" w:rsidR="005C688F" w:rsidRPr="00EC640A" w:rsidRDefault="00000000">
      <w:pPr>
        <w:spacing w:before="120" w:after="240"/>
        <w:jc w:val="center"/>
        <w:rPr>
          <w:lang w:val="ru-RU"/>
        </w:rPr>
      </w:pPr>
      <w:r w:rsidRPr="00EC640A">
        <w:rPr>
          <w:i/>
          <w:sz w:val="24"/>
          <w:lang w:val="ru-RU"/>
        </w:rPr>
        <w:t>Рисунок 1 — Динамика объема рынка интернет-торговли в России (2020–2025 гг.)</w:t>
      </w:r>
    </w:p>
    <w:p w14:paraId="30ECF11B" w14:textId="77777777" w:rsidR="005C688F" w:rsidRPr="00EC640A" w:rsidRDefault="00000000">
      <w:pPr>
        <w:spacing w:before="40" w:after="160"/>
        <w:jc w:val="center"/>
        <w:rPr>
          <w:lang w:val="ru-RU"/>
        </w:rPr>
      </w:pPr>
      <w:r w:rsidRPr="00EC640A">
        <w:rPr>
          <w:i/>
          <w:sz w:val="20"/>
          <w:lang w:val="ru-RU"/>
        </w:rPr>
        <w:t>Источник: 1. Аналитика рынка электронной коммерции [Электронный ресурс] // Ассоциация компаний интернет-торговли (АКИТ</w:t>
      </w:r>
      <w:proofErr w:type="gramStart"/>
      <w:r w:rsidRPr="00EC640A">
        <w:rPr>
          <w:i/>
          <w:sz w:val="20"/>
          <w:lang w:val="ru-RU"/>
        </w:rPr>
        <w:t>) :</w:t>
      </w:r>
      <w:proofErr w:type="gramEnd"/>
      <w:r w:rsidRPr="00EC640A">
        <w:rPr>
          <w:i/>
          <w:sz w:val="20"/>
          <w:lang w:val="ru-RU"/>
        </w:rPr>
        <w:t xml:space="preserve"> офиц. сайт. – Режим доступа: </w:t>
      </w:r>
      <w:r>
        <w:rPr>
          <w:i/>
          <w:sz w:val="20"/>
        </w:rPr>
        <w:t>https</w:t>
      </w:r>
      <w:r w:rsidRPr="00EC640A">
        <w:rPr>
          <w:i/>
          <w:sz w:val="20"/>
          <w:lang w:val="ru-RU"/>
        </w:rPr>
        <w:t>://</w:t>
      </w:r>
      <w:proofErr w:type="spellStart"/>
      <w:r>
        <w:rPr>
          <w:i/>
          <w:sz w:val="20"/>
        </w:rPr>
        <w:t>akit</w:t>
      </w:r>
      <w:proofErr w:type="spellEnd"/>
      <w:r w:rsidRPr="00EC640A">
        <w:rPr>
          <w:i/>
          <w:sz w:val="20"/>
          <w:lang w:val="ru-RU"/>
        </w:rPr>
        <w:t>.</w:t>
      </w:r>
      <w:proofErr w:type="spellStart"/>
      <w:r>
        <w:rPr>
          <w:i/>
          <w:sz w:val="20"/>
        </w:rPr>
        <w:t>ru</w:t>
      </w:r>
      <w:proofErr w:type="spellEnd"/>
      <w:r w:rsidRPr="00EC640A">
        <w:rPr>
          <w:i/>
          <w:sz w:val="20"/>
          <w:lang w:val="ru-RU"/>
        </w:rPr>
        <w:t xml:space="preserve">/ (дата обращения: 21.02.2026). 2. Итоги </w:t>
      </w:r>
      <w:r>
        <w:rPr>
          <w:i/>
          <w:sz w:val="20"/>
        </w:rPr>
        <w:t>e</w:t>
      </w:r>
      <w:r w:rsidRPr="00EC640A">
        <w:rPr>
          <w:i/>
          <w:sz w:val="20"/>
          <w:lang w:val="ru-RU"/>
        </w:rPr>
        <w:t>-</w:t>
      </w:r>
      <w:r>
        <w:rPr>
          <w:i/>
          <w:sz w:val="20"/>
        </w:rPr>
        <w:t>commerce</w:t>
      </w:r>
      <w:r w:rsidRPr="00EC640A">
        <w:rPr>
          <w:i/>
          <w:sz w:val="20"/>
          <w:lang w:val="ru-RU"/>
        </w:rPr>
        <w:t xml:space="preserve"> в России за 2025 год: данные АКИТ [Электронный ресурс] // </w:t>
      </w:r>
      <w:r>
        <w:rPr>
          <w:i/>
          <w:sz w:val="20"/>
        </w:rPr>
        <w:t>Shopper</w:t>
      </w:r>
      <w:r w:rsidRPr="00EC640A">
        <w:rPr>
          <w:i/>
          <w:sz w:val="20"/>
          <w:lang w:val="ru-RU"/>
        </w:rPr>
        <w:t>'</w:t>
      </w:r>
      <w:r>
        <w:rPr>
          <w:i/>
          <w:sz w:val="20"/>
        </w:rPr>
        <w:t>s</w:t>
      </w:r>
      <w:r w:rsidRPr="00EC640A">
        <w:rPr>
          <w:i/>
          <w:sz w:val="20"/>
          <w:lang w:val="ru-RU"/>
        </w:rPr>
        <w:t xml:space="preserve">. – Режим доступа: </w:t>
      </w:r>
      <w:r>
        <w:rPr>
          <w:i/>
          <w:sz w:val="20"/>
        </w:rPr>
        <w:t>https</w:t>
      </w:r>
      <w:r w:rsidRPr="00EC640A">
        <w:rPr>
          <w:i/>
          <w:sz w:val="20"/>
          <w:lang w:val="ru-RU"/>
        </w:rPr>
        <w:t>://</w:t>
      </w:r>
      <w:r>
        <w:rPr>
          <w:i/>
          <w:sz w:val="20"/>
        </w:rPr>
        <w:t>shoppers</w:t>
      </w:r>
      <w:r w:rsidRPr="00EC640A">
        <w:rPr>
          <w:i/>
          <w:sz w:val="20"/>
          <w:lang w:val="ru-RU"/>
        </w:rPr>
        <w:t>.</w:t>
      </w:r>
      <w:r>
        <w:rPr>
          <w:i/>
          <w:sz w:val="20"/>
        </w:rPr>
        <w:t>media</w:t>
      </w:r>
      <w:r w:rsidRPr="00EC640A">
        <w:rPr>
          <w:i/>
          <w:sz w:val="20"/>
          <w:lang w:val="ru-RU"/>
        </w:rPr>
        <w:t>/ (дата обращения: 21.02.2026).</w:t>
      </w:r>
    </w:p>
    <w:p w14:paraId="0CEA6730" w14:textId="77777777" w:rsidR="005C688F" w:rsidRDefault="00000000">
      <w:pPr>
        <w:spacing w:before="240" w:after="120"/>
        <w:jc w:val="center"/>
      </w:pPr>
      <w:r>
        <w:rPr>
          <w:noProof/>
        </w:rPr>
        <w:drawing>
          <wp:inline distT="0" distB="0" distL="0" distR="0" wp14:anchorId="28F9855E" wp14:editId="077E2618">
            <wp:extent cx="4572000" cy="28357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4572000" cy="2835797"/>
                    </a:xfrm>
                    <a:prstGeom prst="rect">
                      <a:avLst/>
                    </a:prstGeom>
                  </pic:spPr>
                </pic:pic>
              </a:graphicData>
            </a:graphic>
          </wp:inline>
        </w:drawing>
      </w:r>
    </w:p>
    <w:p w14:paraId="17854FC4" w14:textId="77777777" w:rsidR="005C688F" w:rsidRPr="00EC640A" w:rsidRDefault="00000000">
      <w:pPr>
        <w:spacing w:before="120" w:after="240"/>
        <w:jc w:val="center"/>
        <w:rPr>
          <w:lang w:val="ru-RU"/>
        </w:rPr>
      </w:pPr>
      <w:r w:rsidRPr="00EC640A">
        <w:rPr>
          <w:i/>
          <w:sz w:val="24"/>
          <w:lang w:val="ru-RU"/>
        </w:rPr>
        <w:t xml:space="preserve">Рисунок 2 — Структура рынка </w:t>
      </w:r>
      <w:r>
        <w:rPr>
          <w:i/>
          <w:sz w:val="24"/>
        </w:rPr>
        <w:t>e</w:t>
      </w:r>
      <w:r w:rsidRPr="00EC640A">
        <w:rPr>
          <w:i/>
          <w:sz w:val="24"/>
          <w:lang w:val="ru-RU"/>
        </w:rPr>
        <w:t>-</w:t>
      </w:r>
      <w:r>
        <w:rPr>
          <w:i/>
          <w:sz w:val="24"/>
        </w:rPr>
        <w:t>commerce</w:t>
      </w:r>
      <w:r w:rsidRPr="00EC640A">
        <w:rPr>
          <w:i/>
          <w:sz w:val="24"/>
          <w:lang w:val="ru-RU"/>
        </w:rPr>
        <w:t xml:space="preserve"> в РФ по крупнейшим игрокам (2025 г.)</w:t>
      </w:r>
    </w:p>
    <w:p w14:paraId="7051D5F0" w14:textId="77777777" w:rsidR="005C688F" w:rsidRPr="00EC640A" w:rsidRDefault="00000000">
      <w:pPr>
        <w:spacing w:before="40" w:after="160"/>
        <w:jc w:val="center"/>
        <w:rPr>
          <w:lang w:val="ru-RU"/>
        </w:rPr>
      </w:pPr>
      <w:r w:rsidRPr="00EC640A">
        <w:rPr>
          <w:i/>
          <w:sz w:val="20"/>
          <w:lang w:val="ru-RU"/>
        </w:rPr>
        <w:lastRenderedPageBreak/>
        <w:t xml:space="preserve">Источник: Аналитики подвели итоги 2024 года на рынке онлайн-торговли: главное // Справочная </w:t>
      </w:r>
      <w:proofErr w:type="gramStart"/>
      <w:r w:rsidRPr="00EC640A">
        <w:rPr>
          <w:i/>
          <w:sz w:val="20"/>
          <w:lang w:val="ru-RU"/>
        </w:rPr>
        <w:t>Точка :</w:t>
      </w:r>
      <w:proofErr w:type="gramEnd"/>
      <w:r w:rsidRPr="00EC640A">
        <w:rPr>
          <w:i/>
          <w:sz w:val="20"/>
          <w:lang w:val="ru-RU"/>
        </w:rPr>
        <w:t xml:space="preserve"> [сайт]. — 2025. — 9 марта. — </w:t>
      </w:r>
      <w:r>
        <w:rPr>
          <w:i/>
          <w:sz w:val="20"/>
        </w:rPr>
        <w:t>URL</w:t>
      </w:r>
      <w:r w:rsidRPr="00EC640A">
        <w:rPr>
          <w:i/>
          <w:sz w:val="20"/>
          <w:lang w:val="ru-RU"/>
        </w:rPr>
        <w:t xml:space="preserve">: </w:t>
      </w:r>
      <w:r>
        <w:rPr>
          <w:i/>
          <w:sz w:val="20"/>
        </w:rPr>
        <w:t>https</w:t>
      </w:r>
      <w:r w:rsidRPr="00EC640A">
        <w:rPr>
          <w:i/>
          <w:sz w:val="20"/>
          <w:lang w:val="ru-RU"/>
        </w:rPr>
        <w:t>://</w:t>
      </w:r>
      <w:proofErr w:type="spellStart"/>
      <w:r>
        <w:rPr>
          <w:i/>
          <w:sz w:val="20"/>
        </w:rPr>
        <w:t>tochka</w:t>
      </w:r>
      <w:proofErr w:type="spellEnd"/>
      <w:r w:rsidRPr="00EC640A">
        <w:rPr>
          <w:i/>
          <w:sz w:val="20"/>
          <w:lang w:val="ru-RU"/>
        </w:rPr>
        <w:t>.</w:t>
      </w:r>
      <w:r>
        <w:rPr>
          <w:i/>
          <w:sz w:val="20"/>
        </w:rPr>
        <w:t>com</w:t>
      </w:r>
      <w:r w:rsidRPr="00EC640A">
        <w:rPr>
          <w:i/>
          <w:sz w:val="20"/>
          <w:lang w:val="ru-RU"/>
        </w:rPr>
        <w:t>/</w:t>
      </w:r>
      <w:proofErr w:type="spellStart"/>
      <w:r>
        <w:rPr>
          <w:i/>
          <w:sz w:val="20"/>
        </w:rPr>
        <w:t>spravochnaya</w:t>
      </w:r>
      <w:proofErr w:type="spellEnd"/>
      <w:r w:rsidRPr="00EC640A">
        <w:rPr>
          <w:i/>
          <w:sz w:val="20"/>
          <w:lang w:val="ru-RU"/>
        </w:rPr>
        <w:t>/ (дата обращения: 21.02.2026).</w:t>
      </w:r>
      <w:r w:rsidRPr="00EC640A">
        <w:rPr>
          <w:i/>
          <w:sz w:val="20"/>
          <w:lang w:val="ru-RU"/>
        </w:rPr>
        <w:br/>
        <w:t xml:space="preserve">Интернет-торговля (рынок России) // </w:t>
      </w:r>
      <w:proofErr w:type="spellStart"/>
      <w:proofErr w:type="gramStart"/>
      <w:r>
        <w:rPr>
          <w:i/>
          <w:sz w:val="20"/>
        </w:rPr>
        <w:t>TAdviser</w:t>
      </w:r>
      <w:proofErr w:type="spellEnd"/>
      <w:r w:rsidRPr="00EC640A">
        <w:rPr>
          <w:i/>
          <w:sz w:val="20"/>
          <w:lang w:val="ru-RU"/>
        </w:rPr>
        <w:t xml:space="preserve"> :</w:t>
      </w:r>
      <w:proofErr w:type="gramEnd"/>
      <w:r w:rsidRPr="00EC640A">
        <w:rPr>
          <w:i/>
          <w:sz w:val="20"/>
          <w:lang w:val="ru-RU"/>
        </w:rPr>
        <w:t xml:space="preserve"> [сайт]. — 2026. — 3 февраля. — </w:t>
      </w:r>
      <w:r>
        <w:rPr>
          <w:i/>
          <w:sz w:val="20"/>
        </w:rPr>
        <w:t>URL</w:t>
      </w:r>
      <w:r w:rsidRPr="00EC640A">
        <w:rPr>
          <w:i/>
          <w:sz w:val="20"/>
          <w:lang w:val="ru-RU"/>
        </w:rPr>
        <w:t xml:space="preserve">: </w:t>
      </w:r>
      <w:r>
        <w:rPr>
          <w:i/>
          <w:sz w:val="20"/>
        </w:rPr>
        <w:t>https</w:t>
      </w:r>
      <w:r w:rsidRPr="00EC640A">
        <w:rPr>
          <w:i/>
          <w:sz w:val="20"/>
          <w:lang w:val="ru-RU"/>
        </w:rPr>
        <w:t>://</w:t>
      </w:r>
      <w:r>
        <w:rPr>
          <w:i/>
          <w:sz w:val="20"/>
        </w:rPr>
        <w:t>www</w:t>
      </w:r>
      <w:r w:rsidRPr="00EC640A">
        <w:rPr>
          <w:i/>
          <w:sz w:val="20"/>
          <w:lang w:val="ru-RU"/>
        </w:rPr>
        <w:t>.</w:t>
      </w:r>
      <w:proofErr w:type="spellStart"/>
      <w:r>
        <w:rPr>
          <w:i/>
          <w:sz w:val="20"/>
        </w:rPr>
        <w:t>tadviser</w:t>
      </w:r>
      <w:proofErr w:type="spellEnd"/>
      <w:r w:rsidRPr="00EC640A">
        <w:rPr>
          <w:i/>
          <w:sz w:val="20"/>
          <w:lang w:val="ru-RU"/>
        </w:rPr>
        <w:t>.</w:t>
      </w:r>
      <w:proofErr w:type="spellStart"/>
      <w:r>
        <w:rPr>
          <w:i/>
          <w:sz w:val="20"/>
        </w:rPr>
        <w:t>ru</w:t>
      </w:r>
      <w:proofErr w:type="spellEnd"/>
      <w:r w:rsidRPr="00EC640A">
        <w:rPr>
          <w:i/>
          <w:sz w:val="20"/>
          <w:lang w:val="ru-RU"/>
        </w:rPr>
        <w:t>/ (дата обращения: 21.02.2026).</w:t>
      </w:r>
    </w:p>
    <w:p w14:paraId="0E8939D3" w14:textId="77777777" w:rsidR="005C688F" w:rsidRDefault="00000000">
      <w:pPr>
        <w:spacing w:before="240" w:after="120"/>
        <w:jc w:val="center"/>
      </w:pPr>
      <w:r>
        <w:rPr>
          <w:noProof/>
        </w:rPr>
        <w:drawing>
          <wp:inline distT="0" distB="0" distL="0" distR="0" wp14:anchorId="0D880A03" wp14:editId="36F4DDC5">
            <wp:extent cx="4572000" cy="283193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4572000" cy="2831939"/>
                    </a:xfrm>
                    <a:prstGeom prst="rect">
                      <a:avLst/>
                    </a:prstGeom>
                  </pic:spPr>
                </pic:pic>
              </a:graphicData>
            </a:graphic>
          </wp:inline>
        </w:drawing>
      </w:r>
    </w:p>
    <w:p w14:paraId="417BFAD7" w14:textId="77777777" w:rsidR="005C688F" w:rsidRPr="00EC640A" w:rsidRDefault="00000000">
      <w:pPr>
        <w:spacing w:before="120" w:after="240"/>
        <w:jc w:val="center"/>
        <w:rPr>
          <w:lang w:val="ru-RU"/>
        </w:rPr>
      </w:pPr>
      <w:r w:rsidRPr="00EC640A">
        <w:rPr>
          <w:i/>
          <w:sz w:val="24"/>
          <w:lang w:val="ru-RU"/>
        </w:rPr>
        <w:t>Рисунок 3 — Изменение доли онлайн-покупок в основных товарных категориях</w:t>
      </w:r>
    </w:p>
    <w:p w14:paraId="4C52E3DE" w14:textId="77777777" w:rsidR="005C688F" w:rsidRPr="00EC640A" w:rsidRDefault="00000000">
      <w:pPr>
        <w:spacing w:before="40" w:after="160"/>
        <w:jc w:val="center"/>
        <w:rPr>
          <w:lang w:val="ru-RU"/>
        </w:rPr>
      </w:pPr>
      <w:r w:rsidRPr="00EC640A">
        <w:rPr>
          <w:i/>
          <w:sz w:val="20"/>
          <w:lang w:val="ru-RU"/>
        </w:rPr>
        <w:t xml:space="preserve">Источник: 1. АКИТ: объем интернет-торговли в России в 2025 году вырос на 28% [Электронный ресурс] // </w:t>
      </w:r>
      <w:proofErr w:type="spellStart"/>
      <w:proofErr w:type="gramStart"/>
      <w:r>
        <w:rPr>
          <w:i/>
          <w:sz w:val="20"/>
        </w:rPr>
        <w:t>ComNews</w:t>
      </w:r>
      <w:proofErr w:type="spellEnd"/>
      <w:r w:rsidRPr="00EC640A">
        <w:rPr>
          <w:i/>
          <w:sz w:val="20"/>
          <w:lang w:val="ru-RU"/>
        </w:rPr>
        <w:t xml:space="preserve"> :</w:t>
      </w:r>
      <w:proofErr w:type="gramEnd"/>
      <w:r w:rsidRPr="00EC640A">
        <w:rPr>
          <w:i/>
          <w:sz w:val="20"/>
          <w:lang w:val="ru-RU"/>
        </w:rPr>
        <w:t xml:space="preserve"> [сайт]. — 2026. — 19 февраля. — </w:t>
      </w:r>
      <w:r>
        <w:rPr>
          <w:i/>
          <w:sz w:val="20"/>
        </w:rPr>
        <w:t>URL</w:t>
      </w:r>
      <w:r w:rsidRPr="00EC640A">
        <w:rPr>
          <w:i/>
          <w:sz w:val="20"/>
          <w:lang w:val="ru-RU"/>
        </w:rPr>
        <w:t xml:space="preserve">: </w:t>
      </w:r>
      <w:r>
        <w:rPr>
          <w:i/>
          <w:sz w:val="20"/>
        </w:rPr>
        <w:t>https</w:t>
      </w:r>
      <w:r w:rsidRPr="00EC640A">
        <w:rPr>
          <w:i/>
          <w:sz w:val="20"/>
          <w:lang w:val="ru-RU"/>
        </w:rPr>
        <w:t>://</w:t>
      </w:r>
      <w:r>
        <w:rPr>
          <w:i/>
          <w:sz w:val="20"/>
        </w:rPr>
        <w:t>www</w:t>
      </w:r>
      <w:r w:rsidRPr="00EC640A">
        <w:rPr>
          <w:i/>
          <w:sz w:val="20"/>
          <w:lang w:val="ru-RU"/>
        </w:rPr>
        <w:t>.</w:t>
      </w:r>
      <w:proofErr w:type="spellStart"/>
      <w:r>
        <w:rPr>
          <w:i/>
          <w:sz w:val="20"/>
        </w:rPr>
        <w:t>comnews</w:t>
      </w:r>
      <w:proofErr w:type="spellEnd"/>
      <w:r w:rsidRPr="00EC640A">
        <w:rPr>
          <w:i/>
          <w:sz w:val="20"/>
          <w:lang w:val="ru-RU"/>
        </w:rPr>
        <w:t>.</w:t>
      </w:r>
      <w:proofErr w:type="spellStart"/>
      <w:r>
        <w:rPr>
          <w:i/>
          <w:sz w:val="20"/>
        </w:rPr>
        <w:t>ru</w:t>
      </w:r>
      <w:proofErr w:type="spellEnd"/>
      <w:r w:rsidRPr="00EC640A">
        <w:rPr>
          <w:i/>
          <w:sz w:val="20"/>
          <w:lang w:val="ru-RU"/>
        </w:rPr>
        <w:t>/ (дата обращения: 21.02.2026).</w:t>
      </w:r>
      <w:r w:rsidRPr="00EC640A">
        <w:rPr>
          <w:i/>
          <w:sz w:val="20"/>
          <w:lang w:val="ru-RU"/>
        </w:rPr>
        <w:br/>
        <w:t xml:space="preserve">2. АКИТ: Объем интернет-торговли в России в 2024 году увечился на 41% до 9 трлн рублей [Электронный ресурс] // </w:t>
      </w:r>
      <w:proofErr w:type="gramStart"/>
      <w:r>
        <w:rPr>
          <w:i/>
          <w:sz w:val="20"/>
        </w:rPr>
        <w:t>E</w:t>
      </w:r>
      <w:r w:rsidRPr="00EC640A">
        <w:rPr>
          <w:i/>
          <w:sz w:val="20"/>
          <w:lang w:val="ru-RU"/>
        </w:rPr>
        <w:t>-</w:t>
      </w:r>
      <w:r>
        <w:rPr>
          <w:i/>
          <w:sz w:val="20"/>
        </w:rPr>
        <w:t>pepper</w:t>
      </w:r>
      <w:r w:rsidRPr="00EC640A">
        <w:rPr>
          <w:i/>
          <w:sz w:val="20"/>
          <w:lang w:val="ru-RU"/>
        </w:rPr>
        <w:t>.</w:t>
      </w:r>
      <w:proofErr w:type="spellStart"/>
      <w:r>
        <w:rPr>
          <w:i/>
          <w:sz w:val="20"/>
        </w:rPr>
        <w:t>ru</w:t>
      </w:r>
      <w:proofErr w:type="spellEnd"/>
      <w:r w:rsidRPr="00EC640A">
        <w:rPr>
          <w:i/>
          <w:sz w:val="20"/>
          <w:lang w:val="ru-RU"/>
        </w:rPr>
        <w:t xml:space="preserve"> :</w:t>
      </w:r>
      <w:proofErr w:type="gramEnd"/>
      <w:r w:rsidRPr="00EC640A">
        <w:rPr>
          <w:i/>
          <w:sz w:val="20"/>
          <w:lang w:val="ru-RU"/>
        </w:rPr>
        <w:t xml:space="preserve"> [сайт]. — 2025. — 18 февраля. — </w:t>
      </w:r>
      <w:r>
        <w:rPr>
          <w:i/>
          <w:sz w:val="20"/>
        </w:rPr>
        <w:t>URL</w:t>
      </w:r>
      <w:r w:rsidRPr="00EC640A">
        <w:rPr>
          <w:i/>
          <w:sz w:val="20"/>
          <w:lang w:val="ru-RU"/>
        </w:rPr>
        <w:t xml:space="preserve">: </w:t>
      </w:r>
      <w:r>
        <w:rPr>
          <w:i/>
          <w:sz w:val="20"/>
        </w:rPr>
        <w:t>https</w:t>
      </w:r>
      <w:r w:rsidRPr="00EC640A">
        <w:rPr>
          <w:i/>
          <w:sz w:val="20"/>
          <w:lang w:val="ru-RU"/>
        </w:rPr>
        <w:t>://</w:t>
      </w:r>
      <w:r>
        <w:rPr>
          <w:i/>
          <w:sz w:val="20"/>
        </w:rPr>
        <w:t>e</w:t>
      </w:r>
      <w:r w:rsidRPr="00EC640A">
        <w:rPr>
          <w:i/>
          <w:sz w:val="20"/>
          <w:lang w:val="ru-RU"/>
        </w:rPr>
        <w:t>-</w:t>
      </w:r>
      <w:r>
        <w:rPr>
          <w:i/>
          <w:sz w:val="20"/>
        </w:rPr>
        <w:t>pepper</w:t>
      </w:r>
      <w:r w:rsidRPr="00EC640A">
        <w:rPr>
          <w:i/>
          <w:sz w:val="20"/>
          <w:lang w:val="ru-RU"/>
        </w:rPr>
        <w:t>.</w:t>
      </w:r>
      <w:proofErr w:type="spellStart"/>
      <w:r>
        <w:rPr>
          <w:i/>
          <w:sz w:val="20"/>
        </w:rPr>
        <w:t>ru</w:t>
      </w:r>
      <w:proofErr w:type="spellEnd"/>
      <w:r w:rsidRPr="00EC640A">
        <w:rPr>
          <w:i/>
          <w:sz w:val="20"/>
          <w:lang w:val="ru-RU"/>
        </w:rPr>
        <w:t>/ (дата обращения: 21.02.2026).</w:t>
      </w:r>
    </w:p>
    <w:sectPr w:rsidR="005C688F" w:rsidRPr="00EC640A" w:rsidSect="00034616">
      <w:footerReference w:type="default" r:id="rId11"/>
      <w:pgSz w:w="12240" w:h="15840"/>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4AB5" w14:textId="77777777" w:rsidR="00AD004B" w:rsidRDefault="00AD004B">
      <w:pPr>
        <w:spacing w:line="240" w:lineRule="auto"/>
      </w:pPr>
      <w:r>
        <w:separator/>
      </w:r>
    </w:p>
  </w:endnote>
  <w:endnote w:type="continuationSeparator" w:id="0">
    <w:p w14:paraId="33FE97B0" w14:textId="77777777" w:rsidR="00AD004B" w:rsidRDefault="00AD0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960C" w14:textId="77777777" w:rsidR="005C688F" w:rsidRDefault="00000000">
    <w:pPr>
      <w:pStyle w:val="a7"/>
      <w:ind w:firstLine="0"/>
      <w:jc w:val="center"/>
    </w:pPr>
    <w:r>
      <w:fldChar w:fldCharType="begin"/>
    </w:r>
    <w:r>
      <w:instrText xml:space="preserve"> PAGE </w:instrText>
    </w:r>
    <w:r>
      <w:fldChar w:fldCharType="separate"/>
    </w:r>
    <w:r w:rsidR="006E18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5EA4" w14:textId="77777777" w:rsidR="00AD004B" w:rsidRDefault="00AD004B">
      <w:pPr>
        <w:spacing w:line="240" w:lineRule="auto"/>
      </w:pPr>
      <w:r>
        <w:separator/>
      </w:r>
    </w:p>
  </w:footnote>
  <w:footnote w:type="continuationSeparator" w:id="0">
    <w:p w14:paraId="7546CA4B" w14:textId="77777777" w:rsidR="00AD004B" w:rsidRDefault="00AD004B">
      <w:pPr>
        <w:spacing w:line="240" w:lineRule="auto"/>
      </w:pPr>
      <w:r>
        <w:continuationSeparator/>
      </w:r>
    </w:p>
  </w:footnote>
  <w:footnote w:id="1">
    <w:p w14:paraId="36F4223B"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Рынок электронной коммерции в России 2025: итоги и прогнозы / под ред. В.В. Радаева. М.: НИУ ВШЭ, 2025. С. 12.</w:t>
      </w:r>
    </w:p>
  </w:footnote>
  <w:footnote w:id="2">
    <w:p w14:paraId="4ED21324"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 xml:space="preserve">Котлер Ф. Маркетинг 5.0: Технологии следующего поколения / Ф. Котлер, Х. </w:t>
      </w:r>
      <w:proofErr w:type="spellStart"/>
      <w:r w:rsidRPr="00EC640A">
        <w:rPr>
          <w:szCs w:val="20"/>
          <w:lang w:val="ru-RU"/>
        </w:rPr>
        <w:t>Картаджайя</w:t>
      </w:r>
      <w:proofErr w:type="spellEnd"/>
      <w:r w:rsidRPr="00EC640A">
        <w:rPr>
          <w:szCs w:val="20"/>
          <w:lang w:val="ru-RU"/>
        </w:rPr>
        <w:t xml:space="preserve">, А. </w:t>
      </w:r>
      <w:proofErr w:type="spellStart"/>
      <w:r w:rsidRPr="00EC640A">
        <w:rPr>
          <w:szCs w:val="20"/>
          <w:lang w:val="ru-RU"/>
        </w:rPr>
        <w:t>Сетиаван</w:t>
      </w:r>
      <w:proofErr w:type="spellEnd"/>
      <w:r w:rsidRPr="00EC640A">
        <w:rPr>
          <w:szCs w:val="20"/>
          <w:lang w:val="ru-RU"/>
        </w:rPr>
        <w:t>. — М.: Эксмо, 2022. — С. 45.</w:t>
      </w:r>
    </w:p>
  </w:footnote>
  <w:footnote w:id="3">
    <w:p w14:paraId="6C352085" w14:textId="77777777" w:rsidR="005C688F" w:rsidRPr="00EC640A" w:rsidRDefault="00000000">
      <w:pPr>
        <w:pStyle w:val="14"/>
        <w:rPr>
          <w:lang w:val="ru-RU"/>
        </w:rPr>
      </w:pPr>
      <w:r>
        <w:rPr>
          <w:rStyle w:val="15"/>
        </w:rPr>
        <w:footnoteRef/>
      </w:r>
      <w:r w:rsidRPr="00EC640A">
        <w:rPr>
          <w:lang w:val="ru-RU"/>
        </w:rPr>
        <w:t xml:space="preserve"> </w:t>
      </w:r>
      <w:proofErr w:type="spellStart"/>
      <w:r w:rsidRPr="00EC640A">
        <w:rPr>
          <w:szCs w:val="20"/>
          <w:lang w:val="ru-RU"/>
        </w:rPr>
        <w:t>Авдашева</w:t>
      </w:r>
      <w:proofErr w:type="spellEnd"/>
      <w:r w:rsidRPr="00EC640A">
        <w:rPr>
          <w:szCs w:val="20"/>
          <w:lang w:val="ru-RU"/>
        </w:rPr>
        <w:t xml:space="preserve"> С.Б. Цифровые платформы в российской экономике: конкуренция и регулирование / С.Б. </w:t>
      </w:r>
      <w:proofErr w:type="spellStart"/>
      <w:r w:rsidRPr="00EC640A">
        <w:rPr>
          <w:szCs w:val="20"/>
          <w:lang w:val="ru-RU"/>
        </w:rPr>
        <w:t>Авдашева</w:t>
      </w:r>
      <w:proofErr w:type="spellEnd"/>
      <w:r w:rsidRPr="00EC640A">
        <w:rPr>
          <w:szCs w:val="20"/>
          <w:lang w:val="ru-RU"/>
        </w:rPr>
        <w:t>. — М.: Изд. дом Высшей школы экономики, 2023. — С. 28.</w:t>
      </w:r>
    </w:p>
  </w:footnote>
  <w:footnote w:id="4">
    <w:p w14:paraId="4D2D835B"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Стратегия развития торговли в Российской Федерации на период до 2025 года (утв. приказом Минпромторга России от 25 декабря 2014 г. № 2733).</w:t>
      </w:r>
    </w:p>
  </w:footnote>
  <w:footnote w:id="5">
    <w:p w14:paraId="66150941"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 xml:space="preserve">Нагл Т. Стратегия и тактика ценообразования / Т. Нагл, Дж. Хоган, Дж. </w:t>
      </w:r>
      <w:proofErr w:type="spellStart"/>
      <w:r w:rsidRPr="00EC640A">
        <w:rPr>
          <w:szCs w:val="20"/>
          <w:lang w:val="ru-RU"/>
        </w:rPr>
        <w:t>Зейл</w:t>
      </w:r>
      <w:proofErr w:type="spellEnd"/>
      <w:r w:rsidRPr="00EC640A">
        <w:rPr>
          <w:szCs w:val="20"/>
          <w:lang w:val="ru-RU"/>
        </w:rPr>
        <w:t>. — СПб.: Питер, 2021</w:t>
      </w:r>
      <w:proofErr w:type="gramStart"/>
      <w:r w:rsidRPr="00EC640A">
        <w:rPr>
          <w:szCs w:val="20"/>
          <w:lang w:val="ru-RU"/>
        </w:rPr>
        <w:t>. ,</w:t>
      </w:r>
      <w:proofErr w:type="gramEnd"/>
      <w:r w:rsidRPr="00EC640A">
        <w:rPr>
          <w:szCs w:val="20"/>
          <w:lang w:val="ru-RU"/>
        </w:rPr>
        <w:t xml:space="preserve"> С. 115.</w:t>
      </w:r>
    </w:p>
  </w:footnote>
  <w:footnote w:id="6">
    <w:p w14:paraId="50110297"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Герасименко В.В. Ценообразование в условиях цифровой экономики: учебное пособие / В.В. Герасименко. — М.: Экономический факультет МГУ имени М.В. Ломоносова, 2022</w:t>
      </w:r>
      <w:proofErr w:type="gramStart"/>
      <w:r w:rsidRPr="00EC640A">
        <w:rPr>
          <w:szCs w:val="20"/>
          <w:lang w:val="ru-RU"/>
        </w:rPr>
        <w:t>. ,</w:t>
      </w:r>
      <w:proofErr w:type="gramEnd"/>
      <w:r w:rsidRPr="00EC640A">
        <w:rPr>
          <w:szCs w:val="20"/>
          <w:lang w:val="ru-RU"/>
        </w:rPr>
        <w:t xml:space="preserve"> С. 84.</w:t>
      </w:r>
    </w:p>
  </w:footnote>
  <w:footnote w:id="7">
    <w:p w14:paraId="379D3DFD"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Яковлева А.Ю. Алгоритмическое ценообразование: вызовы для антимонопольного регулирования // Закон. — 2023</w:t>
      </w:r>
      <w:proofErr w:type="gramStart"/>
      <w:r w:rsidRPr="00EC640A">
        <w:rPr>
          <w:szCs w:val="20"/>
          <w:lang w:val="ru-RU"/>
        </w:rPr>
        <w:t>. ,</w:t>
      </w:r>
      <w:proofErr w:type="gramEnd"/>
      <w:r w:rsidRPr="00EC640A">
        <w:rPr>
          <w:szCs w:val="20"/>
          <w:lang w:val="ru-RU"/>
        </w:rPr>
        <w:t xml:space="preserve"> № 9</w:t>
      </w:r>
      <w:proofErr w:type="gramStart"/>
      <w:r w:rsidRPr="00EC640A">
        <w:rPr>
          <w:szCs w:val="20"/>
          <w:lang w:val="ru-RU"/>
        </w:rPr>
        <w:t>. ,</w:t>
      </w:r>
      <w:proofErr w:type="gramEnd"/>
      <w:r w:rsidRPr="00EC640A">
        <w:rPr>
          <w:szCs w:val="20"/>
          <w:lang w:val="ru-RU"/>
        </w:rPr>
        <w:t xml:space="preserve"> С. 118.</w:t>
      </w:r>
    </w:p>
  </w:footnote>
  <w:footnote w:id="8">
    <w:p w14:paraId="265FD24D"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 xml:space="preserve">Липсиц И.В. Ценообразование: учебник и практикум для вузов / И.В. Липсиц. — 5-е изд., </w:t>
      </w:r>
      <w:proofErr w:type="spellStart"/>
      <w:r w:rsidRPr="00EC640A">
        <w:rPr>
          <w:szCs w:val="20"/>
          <w:lang w:val="ru-RU"/>
        </w:rPr>
        <w:t>перераб</w:t>
      </w:r>
      <w:proofErr w:type="spellEnd"/>
      <w:proofErr w:type="gramStart"/>
      <w:r w:rsidRPr="00EC640A">
        <w:rPr>
          <w:szCs w:val="20"/>
          <w:lang w:val="ru-RU"/>
        </w:rPr>
        <w:t>.</w:t>
      </w:r>
      <w:proofErr w:type="gramEnd"/>
      <w:r w:rsidRPr="00EC640A">
        <w:rPr>
          <w:szCs w:val="20"/>
          <w:lang w:val="ru-RU"/>
        </w:rPr>
        <w:t xml:space="preserve"> и доп. — М.: </w:t>
      </w:r>
      <w:proofErr w:type="spellStart"/>
      <w:r w:rsidRPr="00EC640A">
        <w:rPr>
          <w:szCs w:val="20"/>
          <w:lang w:val="ru-RU"/>
        </w:rPr>
        <w:t>Юрайт</w:t>
      </w:r>
      <w:proofErr w:type="spellEnd"/>
      <w:r w:rsidRPr="00EC640A">
        <w:rPr>
          <w:szCs w:val="20"/>
          <w:lang w:val="ru-RU"/>
        </w:rPr>
        <w:t>, 2024</w:t>
      </w:r>
      <w:proofErr w:type="gramStart"/>
      <w:r w:rsidRPr="00EC640A">
        <w:rPr>
          <w:szCs w:val="20"/>
          <w:lang w:val="ru-RU"/>
        </w:rPr>
        <w:t>. ,</w:t>
      </w:r>
      <w:proofErr w:type="gramEnd"/>
      <w:r w:rsidRPr="00EC640A">
        <w:rPr>
          <w:szCs w:val="20"/>
          <w:lang w:val="ru-RU"/>
        </w:rPr>
        <w:t xml:space="preserve"> С. 210.</w:t>
      </w:r>
    </w:p>
  </w:footnote>
  <w:footnote w:id="9">
    <w:p w14:paraId="4513A113" w14:textId="77777777" w:rsidR="005C688F" w:rsidRPr="00EC640A" w:rsidRDefault="00000000">
      <w:pPr>
        <w:pStyle w:val="14"/>
        <w:rPr>
          <w:lang w:val="ru-RU"/>
        </w:rPr>
      </w:pPr>
      <w:r>
        <w:rPr>
          <w:rStyle w:val="15"/>
        </w:rPr>
        <w:footnoteRef/>
      </w:r>
      <w:r w:rsidRPr="00EC640A">
        <w:rPr>
          <w:lang w:val="ru-RU"/>
        </w:rPr>
        <w:t xml:space="preserve"> </w:t>
      </w:r>
      <w:proofErr w:type="spellStart"/>
      <w:r w:rsidRPr="00EC640A">
        <w:rPr>
          <w:szCs w:val="20"/>
          <w:lang w:val="ru-RU"/>
        </w:rPr>
        <w:t>Канеман</w:t>
      </w:r>
      <w:proofErr w:type="spellEnd"/>
      <w:r w:rsidRPr="00EC640A">
        <w:rPr>
          <w:szCs w:val="20"/>
          <w:lang w:val="ru-RU"/>
        </w:rPr>
        <w:t xml:space="preserve"> Д. Думай медленно... решай быстро / Д. </w:t>
      </w:r>
      <w:proofErr w:type="spellStart"/>
      <w:r w:rsidRPr="00EC640A">
        <w:rPr>
          <w:szCs w:val="20"/>
          <w:lang w:val="ru-RU"/>
        </w:rPr>
        <w:t>Канеман</w:t>
      </w:r>
      <w:proofErr w:type="spellEnd"/>
      <w:r w:rsidRPr="00EC640A">
        <w:rPr>
          <w:szCs w:val="20"/>
          <w:lang w:val="ru-RU"/>
        </w:rPr>
        <w:t>. — М.: АСТ, 2023</w:t>
      </w:r>
      <w:proofErr w:type="gramStart"/>
      <w:r w:rsidRPr="00EC640A">
        <w:rPr>
          <w:szCs w:val="20"/>
          <w:lang w:val="ru-RU"/>
        </w:rPr>
        <w:t>. ,</w:t>
      </w:r>
      <w:proofErr w:type="gramEnd"/>
      <w:r w:rsidRPr="00EC640A">
        <w:rPr>
          <w:szCs w:val="20"/>
          <w:lang w:val="ru-RU"/>
        </w:rPr>
        <w:t xml:space="preserve"> С. 125.</w:t>
      </w:r>
    </w:p>
  </w:footnote>
  <w:footnote w:id="10">
    <w:p w14:paraId="1D172C39" w14:textId="77777777" w:rsidR="005C688F" w:rsidRDefault="00000000">
      <w:pPr>
        <w:pStyle w:val="14"/>
      </w:pPr>
      <w:r>
        <w:rPr>
          <w:rStyle w:val="15"/>
        </w:rPr>
        <w:footnoteRef/>
      </w:r>
      <w:r>
        <w:t xml:space="preserve"> </w:t>
      </w:r>
      <w:r>
        <w:rPr>
          <w:szCs w:val="20"/>
        </w:rPr>
        <w:t>Thaler R.H. Misbehaving: The Making of Behavioral Economics. — New York: W.W. Norton &amp; Company, 2021. — P. 78.</w:t>
      </w:r>
    </w:p>
  </w:footnote>
  <w:footnote w:id="11">
    <w:p w14:paraId="1D0843C7"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Халилова А.А. Влияние цифровизации на потребительское поведение // Маркетинг в России и за рубежом. — 2024</w:t>
      </w:r>
      <w:proofErr w:type="gramStart"/>
      <w:r w:rsidRPr="00EC640A">
        <w:rPr>
          <w:szCs w:val="20"/>
          <w:lang w:val="ru-RU"/>
        </w:rPr>
        <w:t>. ,</w:t>
      </w:r>
      <w:proofErr w:type="gramEnd"/>
      <w:r w:rsidRPr="00EC640A">
        <w:rPr>
          <w:szCs w:val="20"/>
          <w:lang w:val="ru-RU"/>
        </w:rPr>
        <w:t xml:space="preserve"> № 4</w:t>
      </w:r>
      <w:proofErr w:type="gramStart"/>
      <w:r w:rsidRPr="00EC640A">
        <w:rPr>
          <w:szCs w:val="20"/>
          <w:lang w:val="ru-RU"/>
        </w:rPr>
        <w:t>. ,</w:t>
      </w:r>
      <w:proofErr w:type="gramEnd"/>
      <w:r w:rsidRPr="00EC640A">
        <w:rPr>
          <w:szCs w:val="20"/>
          <w:lang w:val="ru-RU"/>
        </w:rPr>
        <w:t xml:space="preserve"> С. 48.</w:t>
      </w:r>
    </w:p>
  </w:footnote>
  <w:footnote w:id="12">
    <w:p w14:paraId="611CDE31"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Исследование «</w:t>
      </w:r>
      <w:r>
        <w:rPr>
          <w:szCs w:val="20"/>
        </w:rPr>
        <w:t>E</w:t>
      </w:r>
      <w:r w:rsidRPr="00EC640A">
        <w:rPr>
          <w:szCs w:val="20"/>
          <w:lang w:val="ru-RU"/>
        </w:rPr>
        <w:t>-</w:t>
      </w:r>
      <w:r>
        <w:rPr>
          <w:szCs w:val="20"/>
        </w:rPr>
        <w:t>commerce</w:t>
      </w:r>
      <w:r w:rsidRPr="00EC640A">
        <w:rPr>
          <w:szCs w:val="20"/>
          <w:lang w:val="ru-RU"/>
        </w:rPr>
        <w:t xml:space="preserve"> в России 2025»: основные тренды и прогнозы // </w:t>
      </w:r>
      <w:r>
        <w:rPr>
          <w:szCs w:val="20"/>
        </w:rPr>
        <w:t>Data</w:t>
      </w:r>
      <w:r w:rsidRPr="00EC640A">
        <w:rPr>
          <w:szCs w:val="20"/>
          <w:lang w:val="ru-RU"/>
        </w:rPr>
        <w:t xml:space="preserve"> </w:t>
      </w:r>
      <w:r>
        <w:rPr>
          <w:szCs w:val="20"/>
        </w:rPr>
        <w:t>Insight</w:t>
      </w:r>
      <w:r w:rsidRPr="00EC640A">
        <w:rPr>
          <w:szCs w:val="20"/>
          <w:lang w:val="ru-RU"/>
        </w:rPr>
        <w:t xml:space="preserve">. </w:t>
      </w:r>
      <w:r>
        <w:rPr>
          <w:szCs w:val="20"/>
        </w:rPr>
        <w:t>URL</w:t>
      </w:r>
      <w:r w:rsidRPr="00EC640A">
        <w:rPr>
          <w:szCs w:val="20"/>
          <w:lang w:val="ru-RU"/>
        </w:rPr>
        <w:t xml:space="preserve">: </w:t>
      </w:r>
      <w:r>
        <w:rPr>
          <w:szCs w:val="20"/>
        </w:rPr>
        <w:t>https</w:t>
      </w:r>
      <w:r w:rsidRPr="00EC640A">
        <w:rPr>
          <w:szCs w:val="20"/>
          <w:lang w:val="ru-RU"/>
        </w:rPr>
        <w:t>://</w:t>
      </w:r>
      <w:proofErr w:type="spellStart"/>
      <w:r>
        <w:rPr>
          <w:szCs w:val="20"/>
        </w:rPr>
        <w:t>datainsight</w:t>
      </w:r>
      <w:proofErr w:type="spellEnd"/>
      <w:r w:rsidRPr="00EC640A">
        <w:rPr>
          <w:szCs w:val="20"/>
          <w:lang w:val="ru-RU"/>
        </w:rPr>
        <w:t>.</w:t>
      </w:r>
      <w:proofErr w:type="spellStart"/>
      <w:r>
        <w:rPr>
          <w:szCs w:val="20"/>
        </w:rPr>
        <w:t>ru</w:t>
      </w:r>
      <w:proofErr w:type="spellEnd"/>
      <w:r w:rsidRPr="00EC640A">
        <w:rPr>
          <w:szCs w:val="20"/>
          <w:lang w:val="ru-RU"/>
        </w:rPr>
        <w:t xml:space="preserve"> (дата обращения: 19.02.2026).</w:t>
      </w:r>
    </w:p>
  </w:footnote>
  <w:footnote w:id="13">
    <w:p w14:paraId="2B84E0C8"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 xml:space="preserve">Аналитический обзор рынка розничной торговли в России за 2024–2025 годы // Официальный сайт Росстата. </w:t>
      </w:r>
      <w:r>
        <w:rPr>
          <w:szCs w:val="20"/>
        </w:rPr>
        <w:t>URL</w:t>
      </w:r>
      <w:r w:rsidRPr="00EC640A">
        <w:rPr>
          <w:szCs w:val="20"/>
          <w:lang w:val="ru-RU"/>
        </w:rPr>
        <w:t xml:space="preserve">: </w:t>
      </w:r>
      <w:r>
        <w:rPr>
          <w:szCs w:val="20"/>
        </w:rPr>
        <w:t>https</w:t>
      </w:r>
      <w:r w:rsidRPr="00EC640A">
        <w:rPr>
          <w:szCs w:val="20"/>
          <w:lang w:val="ru-RU"/>
        </w:rPr>
        <w:t>://</w:t>
      </w:r>
      <w:proofErr w:type="spellStart"/>
      <w:r>
        <w:rPr>
          <w:szCs w:val="20"/>
        </w:rPr>
        <w:t>rosstat</w:t>
      </w:r>
      <w:proofErr w:type="spellEnd"/>
      <w:r w:rsidRPr="00EC640A">
        <w:rPr>
          <w:szCs w:val="20"/>
          <w:lang w:val="ru-RU"/>
        </w:rPr>
        <w:t>.</w:t>
      </w:r>
      <w:r>
        <w:rPr>
          <w:szCs w:val="20"/>
        </w:rPr>
        <w:t>gov</w:t>
      </w:r>
      <w:r w:rsidRPr="00EC640A">
        <w:rPr>
          <w:szCs w:val="20"/>
          <w:lang w:val="ru-RU"/>
        </w:rPr>
        <w:t>.</w:t>
      </w:r>
      <w:proofErr w:type="spellStart"/>
      <w:r>
        <w:rPr>
          <w:szCs w:val="20"/>
        </w:rPr>
        <w:t>ru</w:t>
      </w:r>
      <w:proofErr w:type="spellEnd"/>
      <w:r w:rsidRPr="00EC640A">
        <w:rPr>
          <w:szCs w:val="20"/>
          <w:lang w:val="ru-RU"/>
        </w:rPr>
        <w:t xml:space="preserve"> (дата обращения: 20.02.2026).</w:t>
      </w:r>
    </w:p>
  </w:footnote>
  <w:footnote w:id="14">
    <w:p w14:paraId="23B03079"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Шерешева М.Ю. Экосистемы в цифровой экономике: драйверы и барьеры развития // Вопросы экономики. — 2024. — № 5</w:t>
      </w:r>
      <w:proofErr w:type="gramStart"/>
      <w:r w:rsidRPr="00EC640A">
        <w:rPr>
          <w:szCs w:val="20"/>
          <w:lang w:val="ru-RU"/>
        </w:rPr>
        <w:t>. ,</w:t>
      </w:r>
      <w:proofErr w:type="gramEnd"/>
      <w:r w:rsidRPr="00EC640A">
        <w:rPr>
          <w:szCs w:val="20"/>
          <w:lang w:val="ru-RU"/>
        </w:rPr>
        <w:t xml:space="preserve"> С. 34–50.</w:t>
      </w:r>
    </w:p>
  </w:footnote>
  <w:footnote w:id="15">
    <w:p w14:paraId="3940674D"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 xml:space="preserve">Твердохлебова М.Д. Омниканальная торговля: учебное пособие / М.Д. Твердохлебова. — М.: </w:t>
      </w:r>
      <w:proofErr w:type="spellStart"/>
      <w:r w:rsidRPr="00EC640A">
        <w:rPr>
          <w:szCs w:val="20"/>
          <w:lang w:val="ru-RU"/>
        </w:rPr>
        <w:t>КноРус</w:t>
      </w:r>
      <w:proofErr w:type="spellEnd"/>
      <w:r w:rsidRPr="00EC640A">
        <w:rPr>
          <w:szCs w:val="20"/>
          <w:lang w:val="ru-RU"/>
        </w:rPr>
        <w:t>, 2023. — С. 82.</w:t>
      </w:r>
    </w:p>
  </w:footnote>
  <w:footnote w:id="16">
    <w:p w14:paraId="76C7CA8A" w14:textId="77777777" w:rsidR="005C688F" w:rsidRDefault="00000000">
      <w:pPr>
        <w:pStyle w:val="14"/>
      </w:pPr>
      <w:r>
        <w:rPr>
          <w:rStyle w:val="15"/>
        </w:rPr>
        <w:footnoteRef/>
      </w:r>
      <w:r w:rsidRPr="00EC640A">
        <w:rPr>
          <w:lang w:val="ru-RU"/>
        </w:rPr>
        <w:t xml:space="preserve"> </w:t>
      </w:r>
      <w:r w:rsidRPr="00EC640A">
        <w:rPr>
          <w:szCs w:val="20"/>
          <w:lang w:val="ru-RU"/>
        </w:rPr>
        <w:t xml:space="preserve">Доклад Банка России «Развитие экосистем и регулирование платформенной занятости». </w:t>
      </w:r>
      <w:r>
        <w:rPr>
          <w:szCs w:val="20"/>
        </w:rPr>
        <w:t>М.: ЦБ РФ, 2024. С. 18.</w:t>
      </w:r>
    </w:p>
  </w:footnote>
  <w:footnote w:id="17">
    <w:p w14:paraId="69B1FA9B" w14:textId="77777777" w:rsidR="005C688F" w:rsidRPr="00EC640A" w:rsidRDefault="00000000">
      <w:pPr>
        <w:pStyle w:val="14"/>
        <w:rPr>
          <w:lang w:val="ru-RU"/>
        </w:rPr>
      </w:pPr>
      <w:r>
        <w:rPr>
          <w:rStyle w:val="15"/>
        </w:rPr>
        <w:footnoteRef/>
      </w:r>
      <w:r>
        <w:t xml:space="preserve"> </w:t>
      </w:r>
      <w:r>
        <w:rPr>
          <w:szCs w:val="20"/>
        </w:rPr>
        <w:t>Global E-commerce Trends Report 2025 // McKinsey &amp; Company. URL</w:t>
      </w:r>
      <w:r w:rsidRPr="00EC640A">
        <w:rPr>
          <w:szCs w:val="20"/>
          <w:lang w:val="ru-RU"/>
        </w:rPr>
        <w:t xml:space="preserve">: </w:t>
      </w:r>
      <w:r>
        <w:rPr>
          <w:szCs w:val="20"/>
        </w:rPr>
        <w:t>https</w:t>
      </w:r>
      <w:r w:rsidRPr="00EC640A">
        <w:rPr>
          <w:szCs w:val="20"/>
          <w:lang w:val="ru-RU"/>
        </w:rPr>
        <w:t>://</w:t>
      </w:r>
      <w:r>
        <w:rPr>
          <w:szCs w:val="20"/>
        </w:rPr>
        <w:t>www</w:t>
      </w:r>
      <w:r w:rsidRPr="00EC640A">
        <w:rPr>
          <w:szCs w:val="20"/>
          <w:lang w:val="ru-RU"/>
        </w:rPr>
        <w:t>.</w:t>
      </w:r>
      <w:proofErr w:type="spellStart"/>
      <w:r>
        <w:rPr>
          <w:szCs w:val="20"/>
        </w:rPr>
        <w:t>mckinsey</w:t>
      </w:r>
      <w:proofErr w:type="spellEnd"/>
      <w:r w:rsidRPr="00EC640A">
        <w:rPr>
          <w:szCs w:val="20"/>
          <w:lang w:val="ru-RU"/>
        </w:rPr>
        <w:t>.</w:t>
      </w:r>
      <w:r>
        <w:rPr>
          <w:szCs w:val="20"/>
        </w:rPr>
        <w:t>com</w:t>
      </w:r>
      <w:r w:rsidRPr="00EC640A">
        <w:rPr>
          <w:szCs w:val="20"/>
          <w:lang w:val="ru-RU"/>
        </w:rPr>
        <w:t xml:space="preserve"> (дата обращения: 18.02.2026).</w:t>
      </w:r>
    </w:p>
  </w:footnote>
  <w:footnote w:id="18">
    <w:p w14:paraId="6BE7EA7E"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Радаев В.В. Социология рынков: к новому этапу развития // Экономическая социология. — 2023. — Т. 24</w:t>
      </w:r>
      <w:proofErr w:type="gramStart"/>
      <w:r w:rsidRPr="00EC640A">
        <w:rPr>
          <w:szCs w:val="20"/>
          <w:lang w:val="ru-RU"/>
        </w:rPr>
        <w:t>. ,</w:t>
      </w:r>
      <w:proofErr w:type="gramEnd"/>
      <w:r w:rsidRPr="00EC640A">
        <w:rPr>
          <w:szCs w:val="20"/>
          <w:lang w:val="ru-RU"/>
        </w:rPr>
        <w:t xml:space="preserve"> № 2</w:t>
      </w:r>
      <w:proofErr w:type="gramStart"/>
      <w:r w:rsidRPr="00EC640A">
        <w:rPr>
          <w:szCs w:val="20"/>
          <w:lang w:val="ru-RU"/>
        </w:rPr>
        <w:t>. ,</w:t>
      </w:r>
      <w:proofErr w:type="gramEnd"/>
      <w:r w:rsidRPr="00EC640A">
        <w:rPr>
          <w:szCs w:val="20"/>
          <w:lang w:val="ru-RU"/>
        </w:rPr>
        <w:t xml:space="preserve"> С. 15.</w:t>
      </w:r>
    </w:p>
  </w:footnote>
  <w:footnote w:id="19">
    <w:p w14:paraId="3B1BC9FA"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Федеральный закон от 28.12.2009 № 381-ФЗ «Об основах государственного регулирования торговой деятельности в Российской Федерации» (ред. от 25.12.2025).</w:t>
      </w:r>
    </w:p>
  </w:footnote>
  <w:footnote w:id="20">
    <w:p w14:paraId="34204C5F" w14:textId="77777777" w:rsidR="005C688F" w:rsidRPr="00EC640A" w:rsidRDefault="00000000">
      <w:pPr>
        <w:pStyle w:val="14"/>
        <w:rPr>
          <w:lang w:val="ru-RU"/>
        </w:rPr>
      </w:pPr>
      <w:r>
        <w:rPr>
          <w:rStyle w:val="15"/>
        </w:rPr>
        <w:footnoteRef/>
      </w:r>
      <w:r w:rsidRPr="00EC640A">
        <w:rPr>
          <w:lang w:val="ru-RU"/>
        </w:rPr>
        <w:t xml:space="preserve"> </w:t>
      </w:r>
      <w:r w:rsidRPr="00EC640A">
        <w:rPr>
          <w:szCs w:val="20"/>
          <w:lang w:val="ru-RU"/>
        </w:rPr>
        <w:t xml:space="preserve">Розничная торговля </w:t>
      </w:r>
      <w:r>
        <w:rPr>
          <w:szCs w:val="20"/>
        </w:rPr>
        <w:t>Food</w:t>
      </w:r>
      <w:r w:rsidRPr="00EC640A">
        <w:rPr>
          <w:szCs w:val="20"/>
          <w:lang w:val="ru-RU"/>
        </w:rPr>
        <w:t xml:space="preserve"> и </w:t>
      </w:r>
      <w:r>
        <w:rPr>
          <w:szCs w:val="20"/>
        </w:rPr>
        <w:t>Non</w:t>
      </w:r>
      <w:r w:rsidRPr="00EC640A">
        <w:rPr>
          <w:szCs w:val="20"/>
          <w:lang w:val="ru-RU"/>
        </w:rPr>
        <w:t>-</w:t>
      </w:r>
      <w:r>
        <w:rPr>
          <w:szCs w:val="20"/>
        </w:rPr>
        <w:t>Food</w:t>
      </w:r>
      <w:r w:rsidRPr="00EC640A">
        <w:rPr>
          <w:szCs w:val="20"/>
          <w:lang w:val="ru-RU"/>
        </w:rPr>
        <w:t xml:space="preserve">: итоги 2025 года // </w:t>
      </w:r>
      <w:proofErr w:type="spellStart"/>
      <w:r>
        <w:rPr>
          <w:szCs w:val="20"/>
        </w:rPr>
        <w:t>INFOLine</w:t>
      </w:r>
      <w:proofErr w:type="spellEnd"/>
      <w:r w:rsidRPr="00EC640A">
        <w:rPr>
          <w:szCs w:val="20"/>
          <w:lang w:val="ru-RU"/>
        </w:rPr>
        <w:t>-Аналитика. — 2026. — Февраль.</w:t>
      </w:r>
    </w:p>
  </w:footnote>
  <w:footnote w:id="21">
    <w:p w14:paraId="561E961A" w14:textId="77777777" w:rsidR="005C688F" w:rsidRDefault="00000000">
      <w:pPr>
        <w:pStyle w:val="14"/>
      </w:pPr>
      <w:r>
        <w:rPr>
          <w:rStyle w:val="15"/>
        </w:rPr>
        <w:footnoteRef/>
      </w:r>
      <w:r w:rsidRPr="00EC640A">
        <w:rPr>
          <w:lang w:val="ru-RU"/>
        </w:rPr>
        <w:t xml:space="preserve"> </w:t>
      </w:r>
      <w:r w:rsidRPr="00EC640A">
        <w:rPr>
          <w:szCs w:val="20"/>
          <w:lang w:val="ru-RU"/>
        </w:rPr>
        <w:t xml:space="preserve">Черенков В.И. Эволюция маркетинговых коммуникаций в цифровой среде // Вестник Санкт-Петербургского университета. </w:t>
      </w:r>
      <w:r>
        <w:rPr>
          <w:szCs w:val="20"/>
        </w:rPr>
        <w:t>Экономика. , 2023. , Т. 39. , № 1. , С. 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40506702">
    <w:abstractNumId w:val="8"/>
  </w:num>
  <w:num w:numId="2" w16cid:durableId="841430332">
    <w:abstractNumId w:val="6"/>
  </w:num>
  <w:num w:numId="3" w16cid:durableId="1111436088">
    <w:abstractNumId w:val="5"/>
  </w:num>
  <w:num w:numId="4" w16cid:durableId="1027683781">
    <w:abstractNumId w:val="4"/>
  </w:num>
  <w:num w:numId="5" w16cid:durableId="171798182">
    <w:abstractNumId w:val="7"/>
  </w:num>
  <w:num w:numId="6" w16cid:durableId="1886671809">
    <w:abstractNumId w:val="3"/>
  </w:num>
  <w:num w:numId="7" w16cid:durableId="336421494">
    <w:abstractNumId w:val="2"/>
  </w:num>
  <w:num w:numId="8" w16cid:durableId="1175265895">
    <w:abstractNumId w:val="1"/>
  </w:num>
  <w:num w:numId="9" w16cid:durableId="120495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6D2F"/>
    <w:rsid w:val="0029639D"/>
    <w:rsid w:val="00326F90"/>
    <w:rsid w:val="00577F3D"/>
    <w:rsid w:val="00590065"/>
    <w:rsid w:val="005C688F"/>
    <w:rsid w:val="006E1821"/>
    <w:rsid w:val="007422C1"/>
    <w:rsid w:val="009F1956"/>
    <w:rsid w:val="00AA1D8D"/>
    <w:rsid w:val="00AD004B"/>
    <w:rsid w:val="00B47730"/>
    <w:rsid w:val="00CB0664"/>
    <w:rsid w:val="00EC64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8EAEA"/>
  <w14:defaultImageDpi w14:val="300"/>
  <w15:docId w15:val="{69474415-1A34-B94E-B22C-910F89EE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360" w:lineRule="auto"/>
      <w:ind w:firstLine="709"/>
      <w:jc w:val="both"/>
    </w:pPr>
    <w:rPr>
      <w:rFonts w:ascii="Times New Roman" w:hAnsi="Times New Roman"/>
      <w:color w:val="000000"/>
      <w:sz w:val="28"/>
    </w:rPr>
  </w:style>
  <w:style w:type="paragraph" w:styleId="1">
    <w:name w:val="heading 1"/>
    <w:basedOn w:val="a1"/>
    <w:next w:val="a1"/>
    <w:link w:val="10"/>
    <w:uiPriority w:val="9"/>
    <w:qFormat/>
    <w:rsid w:val="00FC693F"/>
    <w:pPr>
      <w:keepNext/>
      <w:keepLines/>
      <w:spacing w:before="360" w:after="80"/>
      <w:jc w:val="left"/>
      <w:outlineLvl w:val="0"/>
    </w:pPr>
    <w:rPr>
      <w:rFonts w:asciiTheme="majorHAnsi" w:eastAsiaTheme="majorEastAsia" w:hAnsiTheme="majorHAnsi" w:cstheme="majorBidi"/>
      <w:b/>
      <w:bCs/>
      <w:sz w:val="32"/>
      <w:szCs w:val="28"/>
    </w:rPr>
  </w:style>
  <w:style w:type="paragraph" w:styleId="21">
    <w:name w:val="heading 2"/>
    <w:basedOn w:val="a1"/>
    <w:next w:val="a1"/>
    <w:link w:val="22"/>
    <w:uiPriority w:val="9"/>
    <w:unhideWhenUsed/>
    <w:qFormat/>
    <w:rsid w:val="00FC693F"/>
    <w:pPr>
      <w:keepNext/>
      <w:keepLines/>
      <w:spacing w:before="160" w:after="80"/>
      <w:jc w:val="left"/>
      <w:outlineLvl w:val="1"/>
    </w:pPr>
    <w:rPr>
      <w:rFonts w:asciiTheme="majorHAnsi" w:eastAsiaTheme="majorEastAsia" w:hAnsiTheme="majorHAnsi" w:cstheme="majorBidi"/>
      <w:b/>
      <w:bCs/>
      <w:szCs w:val="26"/>
    </w:rPr>
  </w:style>
  <w:style w:type="paragraph" w:styleId="31">
    <w:name w:val="heading 3"/>
    <w:basedOn w:val="a1"/>
    <w:next w:val="a1"/>
    <w:link w:val="32"/>
    <w:uiPriority w:val="9"/>
    <w:unhideWhenUsed/>
    <w:qFormat/>
    <w:rsid w:val="00FC693F"/>
    <w:pPr>
      <w:keepNext/>
      <w:keepLines/>
      <w:spacing w:before="160" w:after="80"/>
      <w:outlineLvl w:val="2"/>
    </w:pPr>
    <w:rPr>
      <w:rFonts w:asciiTheme="majorHAnsi" w:eastAsiaTheme="majorEastAsia" w:hAnsiTheme="majorHAnsi" w:cstheme="majorBidi"/>
      <w:bCs/>
      <w:sz w:val="24"/>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jc w:val="right"/>
    </w:pPr>
    <w:rPr>
      <w:b/>
      <w:bCs/>
      <w:sz w:val="24"/>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4">
    <w:name w:val="Текст сноски1"/>
    <w:pPr>
      <w:spacing w:after="0" w:line="240" w:lineRule="auto"/>
    </w:pPr>
    <w:rPr>
      <w:rFonts w:ascii="Times New Roman" w:hAnsi="Times New Roman"/>
      <w:sz w:val="20"/>
    </w:rPr>
  </w:style>
  <w:style w:type="character" w:customStyle="1" w:styleId="15">
    <w:name w:val="Знак сноски1"/>
    <w:rPr>
      <w:rFonts w:ascii="Times New Roman" w:hAnsi="Times New Roman"/>
      <w:sz w:val="20"/>
      <w:vertAlign w:val="superscript"/>
    </w:rPr>
  </w:style>
  <w:style w:type="paragraph" w:styleId="16">
    <w:name w:val="toc 1"/>
    <w:basedOn w:val="a1"/>
    <w:next w:val="a1"/>
    <w:autoRedefine/>
    <w:uiPriority w:val="39"/>
    <w:unhideWhenUsed/>
    <w:rsid w:val="006E1821"/>
    <w:pPr>
      <w:spacing w:before="120"/>
      <w:jc w:val="left"/>
    </w:pPr>
    <w:rPr>
      <w:rFonts w:asciiTheme="minorHAnsi" w:hAnsiTheme="minorHAnsi"/>
      <w:b/>
      <w:bCs/>
      <w:i/>
      <w:iCs/>
      <w:sz w:val="24"/>
      <w:szCs w:val="24"/>
    </w:rPr>
  </w:style>
  <w:style w:type="paragraph" w:styleId="2c">
    <w:name w:val="toc 2"/>
    <w:basedOn w:val="a1"/>
    <w:next w:val="a1"/>
    <w:autoRedefine/>
    <w:uiPriority w:val="39"/>
    <w:unhideWhenUsed/>
    <w:rsid w:val="006E1821"/>
    <w:pPr>
      <w:spacing w:before="120"/>
      <w:ind w:left="280"/>
      <w:jc w:val="left"/>
    </w:pPr>
    <w:rPr>
      <w:rFonts w:asciiTheme="minorHAnsi" w:hAnsiTheme="minorHAnsi"/>
      <w:b/>
      <w:bCs/>
      <w:sz w:val="22"/>
    </w:rPr>
  </w:style>
  <w:style w:type="character" w:styleId="aff8">
    <w:name w:val="Hyperlink"/>
    <w:basedOn w:val="a2"/>
    <w:uiPriority w:val="99"/>
    <w:unhideWhenUsed/>
    <w:rsid w:val="006E1821"/>
    <w:rPr>
      <w:color w:val="0000FF" w:themeColor="hyperlink"/>
      <w:u w:val="single"/>
    </w:rPr>
  </w:style>
  <w:style w:type="paragraph" w:styleId="38">
    <w:name w:val="toc 3"/>
    <w:basedOn w:val="a1"/>
    <w:next w:val="a1"/>
    <w:autoRedefine/>
    <w:uiPriority w:val="39"/>
    <w:semiHidden/>
    <w:unhideWhenUsed/>
    <w:rsid w:val="00EC640A"/>
    <w:pPr>
      <w:ind w:left="560"/>
      <w:jc w:val="left"/>
    </w:pPr>
    <w:rPr>
      <w:rFonts w:asciiTheme="minorHAnsi" w:hAnsiTheme="minorHAnsi"/>
      <w:sz w:val="20"/>
      <w:szCs w:val="20"/>
    </w:rPr>
  </w:style>
  <w:style w:type="paragraph" w:styleId="41">
    <w:name w:val="toc 4"/>
    <w:basedOn w:val="a1"/>
    <w:next w:val="a1"/>
    <w:autoRedefine/>
    <w:uiPriority w:val="39"/>
    <w:semiHidden/>
    <w:unhideWhenUsed/>
    <w:rsid w:val="00EC640A"/>
    <w:pPr>
      <w:ind w:left="840"/>
      <w:jc w:val="left"/>
    </w:pPr>
    <w:rPr>
      <w:rFonts w:asciiTheme="minorHAnsi" w:hAnsiTheme="minorHAnsi"/>
      <w:sz w:val="20"/>
      <w:szCs w:val="20"/>
    </w:rPr>
  </w:style>
  <w:style w:type="paragraph" w:styleId="51">
    <w:name w:val="toc 5"/>
    <w:basedOn w:val="a1"/>
    <w:next w:val="a1"/>
    <w:autoRedefine/>
    <w:uiPriority w:val="39"/>
    <w:semiHidden/>
    <w:unhideWhenUsed/>
    <w:rsid w:val="00EC640A"/>
    <w:pPr>
      <w:ind w:left="1120"/>
      <w:jc w:val="left"/>
    </w:pPr>
    <w:rPr>
      <w:rFonts w:asciiTheme="minorHAnsi" w:hAnsiTheme="minorHAnsi"/>
      <w:sz w:val="20"/>
      <w:szCs w:val="20"/>
    </w:rPr>
  </w:style>
  <w:style w:type="paragraph" w:styleId="61">
    <w:name w:val="toc 6"/>
    <w:basedOn w:val="a1"/>
    <w:next w:val="a1"/>
    <w:autoRedefine/>
    <w:uiPriority w:val="39"/>
    <w:semiHidden/>
    <w:unhideWhenUsed/>
    <w:rsid w:val="00EC640A"/>
    <w:pPr>
      <w:ind w:left="1400"/>
      <w:jc w:val="left"/>
    </w:pPr>
    <w:rPr>
      <w:rFonts w:asciiTheme="minorHAnsi" w:hAnsiTheme="minorHAnsi"/>
      <w:sz w:val="20"/>
      <w:szCs w:val="20"/>
    </w:rPr>
  </w:style>
  <w:style w:type="paragraph" w:styleId="71">
    <w:name w:val="toc 7"/>
    <w:basedOn w:val="a1"/>
    <w:next w:val="a1"/>
    <w:autoRedefine/>
    <w:uiPriority w:val="39"/>
    <w:semiHidden/>
    <w:unhideWhenUsed/>
    <w:rsid w:val="00EC640A"/>
    <w:pPr>
      <w:ind w:left="1680"/>
      <w:jc w:val="left"/>
    </w:pPr>
    <w:rPr>
      <w:rFonts w:asciiTheme="minorHAnsi" w:hAnsiTheme="minorHAnsi"/>
      <w:sz w:val="20"/>
      <w:szCs w:val="20"/>
    </w:rPr>
  </w:style>
  <w:style w:type="paragraph" w:styleId="81">
    <w:name w:val="toc 8"/>
    <w:basedOn w:val="a1"/>
    <w:next w:val="a1"/>
    <w:autoRedefine/>
    <w:uiPriority w:val="39"/>
    <w:semiHidden/>
    <w:unhideWhenUsed/>
    <w:rsid w:val="00EC640A"/>
    <w:pPr>
      <w:ind w:left="1960"/>
      <w:jc w:val="left"/>
    </w:pPr>
    <w:rPr>
      <w:rFonts w:asciiTheme="minorHAnsi" w:hAnsiTheme="minorHAnsi"/>
      <w:sz w:val="20"/>
      <w:szCs w:val="20"/>
    </w:rPr>
  </w:style>
  <w:style w:type="paragraph" w:styleId="91">
    <w:name w:val="toc 9"/>
    <w:basedOn w:val="a1"/>
    <w:next w:val="a1"/>
    <w:autoRedefine/>
    <w:uiPriority w:val="39"/>
    <w:semiHidden/>
    <w:unhideWhenUsed/>
    <w:rsid w:val="00EC640A"/>
    <w:pPr>
      <w:ind w:left="2240"/>
      <w:jc w:val="left"/>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10017</Words>
  <Characters>57102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Никита Егоров</cp:lastModifiedBy>
  <cp:revision>4</cp:revision>
  <dcterms:created xsi:type="dcterms:W3CDTF">2026-02-21T10:54:00Z</dcterms:created>
  <dcterms:modified xsi:type="dcterms:W3CDTF">2026-02-21T11:38:00Z</dcterms:modified>
  <cp:category/>
</cp:coreProperties>
</file>